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rPr/>
      </w:pPr>
      <w:r w:rsidDel="00000000" w:rsidR="00000000" w:rsidRPr="00000000">
        <w:rPr>
          <w:rFonts w:ascii="Calibri" w:cs="Calibri" w:eastAsia="Calibri" w:hAnsi="Calibri"/>
          <w:b w:val="1"/>
          <w:bCs w:val="1"/>
          <w:i w:val="0"/>
          <w:iCs w:val="0"/>
          <w:color w:val="4a6274"/>
          <w:sz w:val="18"/>
          <w:szCs w:val="18"/>
          <w:rtl w:val="0"/>
        </w:rPr>
        <w:t xml:space="preserve">INCLUSIVE LEARNING LAB</w:t>
      </w: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rFonts w:ascii="Calibri" w:cs="Calibri" w:eastAsia="Calibri" w:hAnsi="Calibri"/>
          <w:b w:val="1"/>
          <w:bCs w:val="1"/>
          <w:i w:val="0"/>
          <w:iCs w:val="0"/>
          <w:color w:val="1f3864"/>
          <w:sz w:val="38"/>
          <w:szCs w:val="38"/>
          <w:rtl w:val="0"/>
        </w:rPr>
        <w:t xml:space="preserve">Introduction: </w:t>
      </w:r>
      <w:r w:rsidDel="00000000" w:rsidR="00000000" w:rsidRPr="00000000">
        <w:rPr>
          <w:rFonts w:ascii="Calibri" w:cs="Calibri" w:eastAsia="Calibri" w:hAnsi="Calibri"/>
          <w:b w:val="1"/>
          <w:bCs w:val="1"/>
          <w:color w:val="1f3864"/>
          <w:sz w:val="38"/>
          <w:szCs w:val="38"/>
          <w:rtl w:val="0"/>
        </w:rPr>
        <w:t xml:space="preserve">What to Expect from Your Case Studies</w:t>
      </w:r>
      <w:r w:rsidDel="00000000" w:rsidR="00000000" w:rsidRPr="00000000">
        <w:rPr>
          <w:rtl w:val="0"/>
        </w:rPr>
      </w:r>
    </w:p>
    <w:p w:rsidR="00000000" w:rsidDel="00000000" w:rsidP="00000000" w:rsidRDefault="00000000" w:rsidRPr="00000000" w14:paraId="00000003">
      <w:pPr>
        <w:pBdr>
          <w:bottom w:color="028090" w:space="6" w:sz="8" w:val="single"/>
        </w:pBdr>
        <w:spacing w:after="80" w:before="0" w:lineRule="auto"/>
        <w:rPr/>
      </w:pPr>
      <w:r w:rsidDel="00000000" w:rsidR="00000000" w:rsidRPr="00000000">
        <w:rPr>
          <w:rtl w:val="0"/>
        </w:rPr>
      </w:r>
    </w:p>
    <w:p w:rsidR="00000000" w:rsidDel="00000000" w:rsidP="00000000" w:rsidRDefault="00000000" w:rsidRPr="00000000" w14:paraId="00000004">
      <w:pPr>
        <w:spacing w:after="80" w:before="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480"/>
        <w:tblGridChange w:id="0">
          <w:tblGrid>
            <w:gridCol w:w="2880"/>
            <w:gridCol w:w="6480"/>
          </w:tblGrid>
        </w:tblGridChange>
      </w:tblGrid>
      <w:tr>
        <w:trPr>
          <w:cantSplit w:val="0"/>
          <w:tblHeader w:val="0"/>
        </w:trPr>
        <w:tc>
          <w:tcPr>
            <w:tcBorders>
              <w:top w:color="028090" w:space="0" w:sz="4" w:val="single"/>
              <w:left w:color="028090" w:space="0" w:sz="4" w:val="single"/>
              <w:bottom w:color="028090" w:space="0" w:sz="4" w:val="single"/>
              <w:right w:color="ffffff" w:space="0" w:sz="4" w:val="single"/>
            </w:tcBorders>
            <w:shd w:fill="028090" w:val="clear"/>
            <w:tcMar>
              <w:top w:w="120.0" w:type="dxa"/>
              <w:left w:w="140.0" w:type="dxa"/>
              <w:bottom w:w="120.0" w:type="dxa"/>
              <w:right w:w="140.0" w:type="dxa"/>
            </w:tcMar>
          </w:tcPr>
          <w:p w:rsidR="00000000" w:rsidDel="00000000" w:rsidP="00000000" w:rsidRDefault="00000000" w:rsidRPr="00000000" w14:paraId="00000005">
            <w:pPr>
              <w:spacing w:after="80" w:lineRule="auto"/>
              <w:rPr/>
            </w:pPr>
            <w:r w:rsidDel="00000000" w:rsidR="00000000" w:rsidRPr="00000000">
              <w:rPr>
                <w:rFonts w:ascii="Calibri" w:cs="Calibri" w:eastAsia="Calibri" w:hAnsi="Calibri"/>
                <w:b w:val="1"/>
                <w:bCs w:val="1"/>
                <w:i w:val="0"/>
                <w:iCs w:val="0"/>
                <w:color w:val="ffffff"/>
                <w:sz w:val="22"/>
                <w:szCs w:val="22"/>
                <w:rtl w:val="0"/>
              </w:rPr>
              <w:t xml:space="preserve">In This Document</w:t>
            </w:r>
            <w:r w:rsidDel="00000000" w:rsidR="00000000" w:rsidRPr="00000000">
              <w:rPr>
                <w:rtl w:val="0"/>
              </w:rPr>
            </w:r>
          </w:p>
          <w:p w:rsidR="00000000" w:rsidDel="00000000" w:rsidP="00000000" w:rsidRDefault="00000000" w:rsidRPr="00000000" w14:paraId="00000006">
            <w:pPr>
              <w:spacing w:after="40" w:lineRule="auto"/>
              <w:rPr/>
            </w:pPr>
            <w:r w:rsidDel="00000000" w:rsidR="00000000" w:rsidRPr="00000000">
              <w:rPr>
                <w:rFonts w:ascii="Calibri" w:cs="Calibri" w:eastAsia="Calibri" w:hAnsi="Calibri"/>
                <w:b w:val="0"/>
                <w:bCs w:val="0"/>
                <w:i w:val="0"/>
                <w:iCs w:val="0"/>
                <w:color w:val="d4eef1"/>
                <w:sz w:val="20"/>
                <w:szCs w:val="20"/>
                <w:rtl w:val="0"/>
              </w:rPr>
              <w:t xml:space="preserve">What case studies are</w:t>
            </w:r>
            <w:r w:rsidDel="00000000" w:rsidR="00000000" w:rsidRPr="00000000">
              <w:rPr>
                <w:rtl w:val="0"/>
              </w:rPr>
            </w:r>
          </w:p>
          <w:p w:rsidR="00000000" w:rsidDel="00000000" w:rsidP="00000000" w:rsidRDefault="00000000" w:rsidRPr="00000000" w14:paraId="00000007">
            <w:pPr>
              <w:spacing w:after="40" w:lineRule="auto"/>
              <w:rPr/>
            </w:pPr>
            <w:r w:rsidDel="00000000" w:rsidR="00000000" w:rsidRPr="00000000">
              <w:rPr>
                <w:rFonts w:ascii="Calibri" w:cs="Calibri" w:eastAsia="Calibri" w:hAnsi="Calibri"/>
                <w:b w:val="0"/>
                <w:bCs w:val="0"/>
                <w:i w:val="0"/>
                <w:iCs w:val="0"/>
                <w:color w:val="d4eef1"/>
                <w:sz w:val="20"/>
                <w:szCs w:val="20"/>
                <w:rtl w:val="0"/>
              </w:rPr>
              <w:t xml:space="preserve">How they are structured</w:t>
            </w:r>
            <w:r w:rsidDel="00000000" w:rsidR="00000000" w:rsidRPr="00000000">
              <w:rPr>
                <w:rtl w:val="0"/>
              </w:rPr>
            </w:r>
          </w:p>
          <w:p w:rsidR="00000000" w:rsidDel="00000000" w:rsidP="00000000" w:rsidRDefault="00000000" w:rsidRPr="00000000" w14:paraId="00000008">
            <w:pPr>
              <w:spacing w:after="40" w:lineRule="auto"/>
              <w:rPr/>
            </w:pPr>
            <w:r w:rsidDel="00000000" w:rsidR="00000000" w:rsidRPr="00000000">
              <w:rPr>
                <w:rFonts w:ascii="Calibri" w:cs="Calibri" w:eastAsia="Calibri" w:hAnsi="Calibri"/>
                <w:b w:val="0"/>
                <w:bCs w:val="0"/>
                <w:i w:val="0"/>
                <w:iCs w:val="0"/>
                <w:color w:val="d4eef1"/>
                <w:sz w:val="20"/>
                <w:szCs w:val="20"/>
                <w:rtl w:val="0"/>
              </w:rPr>
              <w:t xml:space="preserve">Who you will follow</w:t>
            </w:r>
            <w:r w:rsidDel="00000000" w:rsidR="00000000" w:rsidRPr="00000000">
              <w:rPr>
                <w:rtl w:val="0"/>
              </w:rPr>
            </w:r>
          </w:p>
          <w:p w:rsidR="00000000" w:rsidDel="00000000" w:rsidP="00000000" w:rsidRDefault="00000000" w:rsidRPr="00000000" w14:paraId="00000009">
            <w:pPr>
              <w:spacing w:after="40" w:lineRule="auto"/>
              <w:rPr/>
            </w:pPr>
            <w:r w:rsidDel="00000000" w:rsidR="00000000" w:rsidRPr="00000000">
              <w:rPr>
                <w:rFonts w:ascii="Calibri" w:cs="Calibri" w:eastAsia="Calibri" w:hAnsi="Calibri"/>
                <w:b w:val="0"/>
                <w:bCs w:val="0"/>
                <w:i w:val="0"/>
                <w:iCs w:val="0"/>
                <w:color w:val="d4eef1"/>
                <w:sz w:val="20"/>
                <w:szCs w:val="20"/>
                <w:rtl w:val="0"/>
              </w:rPr>
              <w:t xml:space="preserve">How to read them</w:t>
            </w:r>
            <w:r w:rsidDel="00000000" w:rsidR="00000000" w:rsidRPr="00000000">
              <w:rPr>
                <w:rtl w:val="0"/>
              </w:rPr>
            </w:r>
          </w:p>
          <w:p w:rsidR="00000000" w:rsidDel="00000000" w:rsidP="00000000" w:rsidRDefault="00000000" w:rsidRPr="00000000" w14:paraId="0000000A">
            <w:pPr>
              <w:spacing w:after="40" w:lineRule="auto"/>
              <w:rPr/>
            </w:pPr>
            <w:r w:rsidDel="00000000" w:rsidR="00000000" w:rsidRPr="00000000">
              <w:rPr>
                <w:rFonts w:ascii="Calibri" w:cs="Calibri" w:eastAsia="Calibri" w:hAnsi="Calibri"/>
                <w:b w:val="0"/>
                <w:bCs w:val="0"/>
                <w:i w:val="0"/>
                <w:iCs w:val="0"/>
                <w:color w:val="d4eef1"/>
                <w:sz w:val="20"/>
                <w:szCs w:val="20"/>
                <w:rtl w:val="0"/>
              </w:rPr>
              <w:t xml:space="preserve">How to use the reflections</w:t>
            </w:r>
            <w:r w:rsidDel="00000000" w:rsidR="00000000" w:rsidRPr="00000000">
              <w:rPr>
                <w:rtl w:val="0"/>
              </w:rPr>
            </w:r>
          </w:p>
          <w:p w:rsidR="00000000" w:rsidDel="00000000" w:rsidP="00000000" w:rsidRDefault="00000000" w:rsidRPr="00000000" w14:paraId="0000000B">
            <w:pPr>
              <w:spacing w:after="40" w:lineRule="auto"/>
              <w:rPr/>
            </w:pPr>
            <w:r w:rsidDel="00000000" w:rsidR="00000000" w:rsidRPr="00000000">
              <w:rPr>
                <w:rFonts w:ascii="Calibri" w:cs="Calibri" w:eastAsia="Calibri" w:hAnsi="Calibri"/>
                <w:b w:val="0"/>
                <w:bCs w:val="0"/>
                <w:i w:val="0"/>
                <w:iCs w:val="0"/>
                <w:color w:val="d4eef1"/>
                <w:sz w:val="20"/>
                <w:szCs w:val="20"/>
                <w:rtl w:val="0"/>
              </w:rPr>
              <w:t xml:space="preserve">The full case study map</w:t>
            </w:r>
            <w:r w:rsidDel="00000000" w:rsidR="00000000" w:rsidRPr="00000000">
              <w:rPr>
                <w:rtl w:val="0"/>
              </w:rPr>
            </w:r>
          </w:p>
        </w:tc>
        <w:tc>
          <w:tcPr>
            <w:tcBorders>
              <w:top w:color="028090" w:space="0" w:sz="4" w:val="single"/>
              <w:left w:color="ffffff" w:space="0" w:sz="4" w:val="single"/>
              <w:bottom w:color="028090" w:space="0" w:sz="4" w:val="single"/>
              <w:right w:color="028090" w:space="0" w:sz="4" w:val="single"/>
            </w:tcBorders>
            <w:shd w:fill="ffffff" w:val="clear"/>
            <w:tcMar>
              <w:top w:w="120.0" w:type="dxa"/>
              <w:left w:w="140.0" w:type="dxa"/>
              <w:bottom w:w="120.0" w:type="dxa"/>
              <w:right w:w="140.0" w:type="dxa"/>
            </w:tcMar>
          </w:tcPr>
          <w:p w:rsidR="00000000" w:rsidDel="00000000" w:rsidP="00000000" w:rsidRDefault="00000000" w:rsidRPr="00000000" w14:paraId="0000000C">
            <w:pPr>
              <w:spacing w:after="120" w:before="0" w:lineRule="auto"/>
              <w:rPr/>
            </w:pPr>
            <w:r w:rsidDel="00000000" w:rsidR="00000000" w:rsidRPr="00000000">
              <w:rPr>
                <w:rFonts w:ascii="Calibri" w:cs="Calibri" w:eastAsia="Calibri" w:hAnsi="Calibri"/>
                <w:b w:val="0"/>
                <w:bCs w:val="0"/>
                <w:i w:val="0"/>
                <w:iCs w:val="0"/>
                <w:color w:val="1a2b3c"/>
                <w:sz w:val="22"/>
                <w:szCs w:val="22"/>
                <w:rtl w:val="0"/>
              </w:rPr>
              <w:t xml:space="preserve">Every module in this course includes four case studies. They are not supplemental reading. They are the place where the lesson content becomes real — where you will see a teacher navigate the exact situations the lesson prepares you for, make the mistakes the lesson warns against, and find the responses the lesson recommends.</w:t>
            </w:r>
            <w:r w:rsidDel="00000000" w:rsidR="00000000" w:rsidRPr="00000000">
              <w:rPr>
                <w:rtl w:val="0"/>
              </w:rPr>
            </w:r>
          </w:p>
          <w:p w:rsidR="00000000" w:rsidDel="00000000" w:rsidP="00000000" w:rsidRDefault="00000000" w:rsidRPr="00000000" w14:paraId="0000000D">
            <w:pPr>
              <w:spacing w:after="80" w:lineRule="auto"/>
              <w:rPr/>
            </w:pPr>
            <w:r w:rsidDel="00000000" w:rsidR="00000000" w:rsidRPr="00000000">
              <w:rPr>
                <w:rFonts w:ascii="Calibri" w:cs="Calibri" w:eastAsia="Calibri" w:hAnsi="Calibri"/>
                <w:b w:val="0"/>
                <w:bCs w:val="0"/>
                <w:i w:val="0"/>
                <w:iCs w:val="0"/>
                <w:color w:val="1a2b3c"/>
                <w:sz w:val="22"/>
                <w:szCs w:val="22"/>
                <w:rtl w:val="0"/>
              </w:rPr>
              <w:t xml:space="preserve">This document explains how the case studies work, who you will be following, and how to get the most from them. Read it before you begin Module 1.</w:t>
            </w:r>
            <w:r w:rsidDel="00000000" w:rsidR="00000000" w:rsidRPr="00000000">
              <w:rPr>
                <w:rtl w:val="0"/>
              </w:rPr>
            </w:r>
          </w:p>
        </w:tc>
      </w:tr>
    </w:tbl>
    <w:p w:rsidR="00000000" w:rsidDel="00000000" w:rsidP="00000000" w:rsidRDefault="00000000" w:rsidRPr="00000000" w14:paraId="0000000E">
      <w:pPr>
        <w:spacing w:after="80" w:before="0" w:lineRule="auto"/>
        <w:rPr/>
      </w:pPr>
      <w:r w:rsidDel="00000000" w:rsidR="00000000" w:rsidRPr="00000000">
        <w:rPr>
          <w:rtl w:val="0"/>
        </w:rPr>
      </w:r>
    </w:p>
    <w:p w:rsidR="00000000" w:rsidDel="00000000" w:rsidP="00000000" w:rsidRDefault="00000000" w:rsidRPr="00000000" w14:paraId="0000000F">
      <w:pPr>
        <w:spacing w:after="120" w:before="240" w:lineRule="auto"/>
        <w:rPr/>
      </w:pPr>
      <w:r w:rsidDel="00000000" w:rsidR="00000000" w:rsidRPr="00000000">
        <w:rPr>
          <w:rFonts w:ascii="Calibri" w:cs="Calibri" w:eastAsia="Calibri" w:hAnsi="Calibri"/>
          <w:b w:val="1"/>
          <w:bCs w:val="1"/>
          <w:i w:val="0"/>
          <w:iCs w:val="0"/>
          <w:color w:val="1f3864"/>
          <w:sz w:val="32"/>
          <w:szCs w:val="32"/>
          <w:rtl w:val="0"/>
        </w:rPr>
        <w:t xml:space="preserve">What the Case Studies Are</w:t>
      </w:r>
      <w:r w:rsidDel="00000000" w:rsidR="00000000" w:rsidRPr="00000000">
        <w:rPr>
          <w:rtl w:val="0"/>
        </w:rPr>
      </w:r>
    </w:p>
    <w:p w:rsidR="00000000" w:rsidDel="00000000" w:rsidP="00000000" w:rsidRDefault="00000000" w:rsidRPr="00000000" w14:paraId="00000010">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Each case study is a narrative. It follows a teacher — usually Mr. Foster — through a real classroom challenge: a student who won’t start work, a student who is falling apart, a student who has quietly become invisible to his peers. The narrative is realistic rather than idealized. Mr. Foster does not always get it right the first time. He misreads students. He tries interventions that don’t work. He learns.</w:t>
      </w:r>
      <w:r w:rsidDel="00000000" w:rsidR="00000000" w:rsidRPr="00000000">
        <w:rPr>
          <w:rtl w:val="0"/>
        </w:rPr>
      </w:r>
    </w:p>
    <w:p w:rsidR="00000000" w:rsidDel="00000000" w:rsidP="00000000" w:rsidRDefault="00000000" w:rsidRPr="00000000" w14:paraId="00000011">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That learning arc is intentional. The case studies are designed to show not just what effective practice looks like, but how a teacher arrives at it — what it takes to shift from a behavioral attribution to a functional one, from consequence to scaffold, from reaction to relationship.</w:t>
      </w:r>
      <w:r w:rsidDel="00000000" w:rsidR="00000000" w:rsidRPr="00000000">
        <w:rPr>
          <w:rtl w:val="0"/>
        </w:rPr>
      </w:r>
    </w:p>
    <w:p w:rsidR="00000000" w:rsidDel="00000000" w:rsidP="00000000" w:rsidRDefault="00000000" w:rsidRPr="00000000" w14:paraId="00000012">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case studies are not illustrations of the lesson content. They are applications of it. By the time you finish a case study, you should be able to see exactly which concepts from the lesson are operating in the narrative — and use that recognition as a bridge to your own classroom.</w:t>
      </w:r>
      <w:r w:rsidDel="00000000" w:rsidR="00000000" w:rsidRPr="00000000">
        <w:rPr>
          <w:rtl w:val="0"/>
        </w:rPr>
      </w:r>
    </w:p>
    <w:p w:rsidR="00000000" w:rsidDel="00000000" w:rsidP="00000000" w:rsidRDefault="00000000" w:rsidRPr="00000000" w14:paraId="00000013">
      <w:pPr>
        <w:spacing w:after="40" w:before="0" w:lineRule="auto"/>
        <w:rPr/>
      </w:pPr>
      <w:r w:rsidDel="00000000" w:rsidR="00000000" w:rsidRPr="00000000">
        <w:rPr>
          <w:rtl w:val="0"/>
        </w:rPr>
      </w:r>
    </w:p>
    <w:p w:rsidR="00000000" w:rsidDel="00000000" w:rsidP="00000000" w:rsidRDefault="00000000" w:rsidRPr="00000000" w14:paraId="00000014">
      <w:pPr>
        <w:spacing w:after="120" w:before="240" w:lineRule="auto"/>
        <w:rPr/>
      </w:pPr>
      <w:r w:rsidDel="00000000" w:rsidR="00000000" w:rsidRPr="00000000">
        <w:rPr>
          <w:rFonts w:ascii="Calibri" w:cs="Calibri" w:eastAsia="Calibri" w:hAnsi="Calibri"/>
          <w:b w:val="1"/>
          <w:bCs w:val="1"/>
          <w:i w:val="0"/>
          <w:iCs w:val="0"/>
          <w:color w:val="1f3864"/>
          <w:sz w:val="32"/>
          <w:szCs w:val="32"/>
          <w:rtl w:val="0"/>
        </w:rPr>
        <w:t xml:space="preserve">How Case Studies Are Structured</w:t>
      </w:r>
      <w:r w:rsidDel="00000000" w:rsidR="00000000" w:rsidRPr="00000000">
        <w:rPr>
          <w:rtl w:val="0"/>
        </w:rPr>
      </w:r>
    </w:p>
    <w:p w:rsidR="00000000" w:rsidDel="00000000" w:rsidP="00000000" w:rsidRDefault="00000000" w:rsidRPr="00000000" w14:paraId="00000015">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Every case study follows the same visual format so that the structure becomes invisible and the content stays front and center. Here is what you will find on every page:</w:t>
      </w:r>
      <w:r w:rsidDel="00000000" w:rsidR="00000000" w:rsidRPr="00000000">
        <w:rPr>
          <w:rtl w:val="0"/>
        </w:rPr>
      </w:r>
    </w:p>
    <w:p w:rsidR="00000000" w:rsidDel="00000000" w:rsidP="00000000" w:rsidRDefault="00000000" w:rsidRPr="00000000" w14:paraId="00000016">
      <w:pPr>
        <w:spacing w:after="4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28090" w:space="0" w:sz="4" w:val="single"/>
              <w:left w:color="028090" w:space="0" w:sz="6" w:val="single"/>
              <w:bottom w:color="028090" w:space="0" w:sz="4" w:val="single"/>
              <w:right w:color="028090" w:space="0" w:sz="4" w:val="single"/>
            </w:tcBorders>
            <w:shd w:fill="d4eef1" w:val="clear"/>
            <w:tcMar>
              <w:top w:w="120.0" w:type="dxa"/>
              <w:left w:w="180.0" w:type="dxa"/>
              <w:bottom w:w="120.0" w:type="dxa"/>
              <w:right w:w="180.0" w:type="dxa"/>
            </w:tcMar>
          </w:tcPr>
          <w:p w:rsidR="00000000" w:rsidDel="00000000" w:rsidP="00000000" w:rsidRDefault="00000000" w:rsidRPr="00000000" w14:paraId="00000017">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The Intro Table</w:t>
            </w:r>
            <w:r w:rsidDel="00000000" w:rsidR="00000000" w:rsidRPr="00000000">
              <w:rPr>
                <w:rtl w:val="0"/>
              </w:rPr>
            </w:r>
          </w:p>
          <w:p w:rsidR="00000000" w:rsidDel="00000000" w:rsidP="00000000" w:rsidRDefault="00000000" w:rsidRPr="00000000" w14:paraId="00000018">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At the top of every case study, a two-column table gives you the Key Concepts covered in the case and the Characters you will follow. On the right, a brief About This Case Study paragraph orients you to where you are in the narrative arc and what the case is designed to illustrate.</w:t>
            </w:r>
            <w:r w:rsidDel="00000000" w:rsidR="00000000" w:rsidRPr="00000000">
              <w:rPr>
                <w:rtl w:val="0"/>
              </w:rPr>
            </w:r>
          </w:p>
          <w:p w:rsidR="00000000" w:rsidDel="00000000" w:rsidP="00000000" w:rsidRDefault="00000000" w:rsidRPr="00000000" w14:paraId="00000019">
            <w:pPr>
              <w:spacing w:after="40" w:before="0" w:lineRule="auto"/>
              <w:rPr/>
            </w:pPr>
            <w:r w:rsidDel="00000000" w:rsidR="00000000" w:rsidRPr="00000000">
              <w:rPr>
                <w:rtl w:val="0"/>
              </w:rPr>
            </w:r>
          </w:p>
          <w:p w:rsidR="00000000" w:rsidDel="00000000" w:rsidP="00000000" w:rsidRDefault="00000000" w:rsidRPr="00000000" w14:paraId="0000001A">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The Narrative (Part 1)</w:t>
            </w:r>
            <w:r w:rsidDel="00000000" w:rsidR="00000000" w:rsidRPr="00000000">
              <w:rPr>
                <w:rtl w:val="0"/>
              </w:rPr>
            </w:r>
          </w:p>
          <w:p w:rsidR="00000000" w:rsidDel="00000000" w:rsidP="00000000" w:rsidRDefault="00000000" w:rsidRPr="00000000" w14:paraId="0000001B">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Most Module 1 and Module 2 case studies are structured as a single continuous narrative followed by five reflection questions. Most Module 3 and Module 4 case studies use a multi-part format: the narrative is divided into sections (Part 1, Part 2, etc.), and each section is followed by its own reflection question or set of questions. This format asks you to pause and apply before reading what the teacher did next.</w:t>
            </w:r>
            <w:r w:rsidDel="00000000" w:rsidR="00000000" w:rsidRPr="00000000">
              <w:rPr>
                <w:rtl w:val="0"/>
              </w:rPr>
            </w:r>
          </w:p>
          <w:p w:rsidR="00000000" w:rsidDel="00000000" w:rsidP="00000000" w:rsidRDefault="00000000" w:rsidRPr="00000000" w14:paraId="0000001C">
            <w:pPr>
              <w:spacing w:after="40" w:before="0" w:lineRule="auto"/>
              <w:rPr/>
            </w:pPr>
            <w:r w:rsidDel="00000000" w:rsidR="00000000" w:rsidRPr="00000000">
              <w:rPr>
                <w:rtl w:val="0"/>
              </w:rPr>
            </w:r>
          </w:p>
          <w:p w:rsidR="00000000" w:rsidDel="00000000" w:rsidP="00000000" w:rsidRDefault="00000000" w:rsidRPr="00000000" w14:paraId="0000001D">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Callout Boxes</w:t>
            </w:r>
            <w:r w:rsidDel="00000000" w:rsidR="00000000" w:rsidRPr="00000000">
              <w:rPr>
                <w:rtl w:val="0"/>
              </w:rPr>
            </w:r>
          </w:p>
          <w:p w:rsidR="00000000" w:rsidDel="00000000" w:rsidP="00000000" w:rsidRDefault="00000000" w:rsidRPr="00000000" w14:paraId="0000001E">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Many case studies include teal callout boxes embedded in the narrative. These boxes name what is happening in the story in the language of the course — the principle being illustrated, the research behind it, or the mechanism at work. They are not interruptions to the narrative; they are lenses for reading it.</w:t>
            </w:r>
            <w:r w:rsidDel="00000000" w:rsidR="00000000" w:rsidRPr="00000000">
              <w:rPr>
                <w:rtl w:val="0"/>
              </w:rPr>
            </w:r>
          </w:p>
          <w:p w:rsidR="00000000" w:rsidDel="00000000" w:rsidP="00000000" w:rsidRDefault="00000000" w:rsidRPr="00000000" w14:paraId="0000001F">
            <w:pPr>
              <w:spacing w:after="40" w:before="0" w:lineRule="auto"/>
              <w:rPr/>
            </w:pPr>
            <w:r w:rsidDel="00000000" w:rsidR="00000000" w:rsidRPr="00000000">
              <w:rPr>
                <w:rtl w:val="0"/>
              </w:rPr>
            </w:r>
          </w:p>
          <w:p w:rsidR="00000000" w:rsidDel="00000000" w:rsidP="00000000" w:rsidRDefault="00000000" w:rsidRPr="00000000" w14:paraId="00000020">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Reflection Questions (Part 2)</w:t>
            </w:r>
            <w:r w:rsidDel="00000000" w:rsidR="00000000" w:rsidRPr="00000000">
              <w:rPr>
                <w:rtl w:val="0"/>
              </w:rPr>
            </w:r>
          </w:p>
          <w:p w:rsidR="00000000" w:rsidDel="00000000" w:rsidP="00000000" w:rsidRDefault="00000000" w:rsidRPr="00000000" w14:paraId="00000021">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Every case study ends with reflection questions. These are not comprehension checks. They ask you to analyze what happened, connect the narrative to the lesson concepts, and apply the thinking to your own students and classroom. There are no single correct answers. The questions are designed to be discussed, written about, or used as the basis for a coaching conversation.</w:t>
            </w:r>
            <w:r w:rsidDel="00000000" w:rsidR="00000000" w:rsidRPr="00000000">
              <w:rPr>
                <w:rtl w:val="0"/>
              </w:rPr>
            </w:r>
          </w:p>
          <w:p w:rsidR="00000000" w:rsidDel="00000000" w:rsidP="00000000" w:rsidRDefault="00000000" w:rsidRPr="00000000" w14:paraId="00000022">
            <w:pPr>
              <w:spacing w:after="40" w:before="0" w:lineRule="auto"/>
              <w:rPr/>
            </w:pPr>
            <w:r w:rsidDel="00000000" w:rsidR="00000000" w:rsidRPr="00000000">
              <w:rPr>
                <w:rtl w:val="0"/>
              </w:rPr>
            </w:r>
          </w:p>
          <w:p w:rsidR="00000000" w:rsidDel="00000000" w:rsidP="00000000" w:rsidRDefault="00000000" w:rsidRPr="00000000" w14:paraId="00000023">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The Quick Reference Box</w:t>
            </w:r>
            <w:r w:rsidDel="00000000" w:rsidR="00000000" w:rsidRPr="00000000">
              <w:rPr>
                <w:rtl w:val="0"/>
              </w:rPr>
            </w:r>
          </w:p>
          <w:p w:rsidR="00000000" w:rsidDel="00000000" w:rsidP="00000000" w:rsidRDefault="00000000" w:rsidRPr="00000000" w14:paraId="00000024">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At the bottom of every case study, a light teal Quick Reference box distills the key framework, model, or language from the lesson into a single scannable line. It is a retrieval prompt — a way to anchor the concepts from the case study to the lesson structure they came from.</w:t>
            </w:r>
            <w:r w:rsidDel="00000000" w:rsidR="00000000" w:rsidRPr="00000000">
              <w:rPr>
                <w:rtl w:val="0"/>
              </w:rPr>
            </w:r>
          </w:p>
        </w:tc>
      </w:tr>
    </w:tbl>
    <w:p w:rsidR="00000000" w:rsidDel="00000000" w:rsidP="00000000" w:rsidRDefault="00000000" w:rsidRPr="00000000" w14:paraId="00000025">
      <w:pPr>
        <w:spacing w:after="80" w:before="0" w:lineRule="auto"/>
        <w:rPr/>
      </w:pPr>
      <w:r w:rsidDel="00000000" w:rsidR="00000000" w:rsidRPr="00000000">
        <w:rPr>
          <w:rtl w:val="0"/>
        </w:rPr>
      </w:r>
    </w:p>
    <w:p w:rsidR="00000000" w:rsidDel="00000000" w:rsidP="00000000" w:rsidRDefault="00000000" w:rsidRPr="00000000" w14:paraId="00000026">
      <w:pPr>
        <w:spacing w:after="120" w:before="240" w:lineRule="auto"/>
        <w:rPr/>
      </w:pPr>
      <w:r w:rsidDel="00000000" w:rsidR="00000000" w:rsidRPr="00000000">
        <w:rPr>
          <w:rFonts w:ascii="Calibri" w:cs="Calibri" w:eastAsia="Calibri" w:hAnsi="Calibri"/>
          <w:b w:val="1"/>
          <w:bCs w:val="1"/>
          <w:i w:val="0"/>
          <w:iCs w:val="0"/>
          <w:color w:val="1f3864"/>
          <w:sz w:val="32"/>
          <w:szCs w:val="32"/>
          <w:rtl w:val="0"/>
        </w:rPr>
        <w:t xml:space="preserve">Who You Will Follow</w:t>
      </w:r>
      <w:r w:rsidDel="00000000" w:rsidR="00000000" w:rsidRPr="00000000">
        <w:rPr>
          <w:rtl w:val="0"/>
        </w:rPr>
      </w:r>
    </w:p>
    <w:p w:rsidR="00000000" w:rsidDel="00000000" w:rsidP="00000000" w:rsidRDefault="00000000" w:rsidRPr="00000000" w14:paraId="00000027">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case studies are built around a consistent cast of teacher characters who appear across modules. This continuity is deliberate. Rather than meeting a new teacher in every case study, you will follow the same people across time — watching them grow, make mistakes, develop understanding, and encounter new challenges.</w:t>
      </w:r>
      <w:r w:rsidDel="00000000" w:rsidR="00000000" w:rsidRPr="00000000">
        <w:rPr>
          <w:rtl w:val="0"/>
        </w:rPr>
      </w:r>
    </w:p>
    <w:p w:rsidR="00000000" w:rsidDel="00000000" w:rsidP="00000000" w:rsidRDefault="00000000" w:rsidRPr="00000000" w14:paraId="00000028">
      <w:pPr>
        <w:spacing w:after="4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8640"/>
        <w:gridCol w:w="360"/>
        <w:tblGridChange w:id="0">
          <w:tblGrid>
            <w:gridCol w:w="360"/>
            <w:gridCol w:w="8640"/>
            <w:gridCol w:w="360"/>
          </w:tblGrid>
        </w:tblGridChange>
      </w:tblGrid>
      <w:tr>
        <w:trPr>
          <w:cantSplit w:val="0"/>
          <w:tblHeader w:val="0"/>
        </w:trPr>
        <w:tc>
          <w:tcPr>
            <w:tcBorders>
              <w:top w:color="028090" w:space="0" w:sz="4" w:val="single"/>
              <w:left w:color="028090" w:space="0" w:sz="4" w:val="single"/>
              <w:bottom w:color="028090" w:space="0" w:sz="4" w:val="single"/>
              <w:right w:color="000000" w:space="0" w:sz="0" w:val="nil"/>
            </w:tcBorders>
            <w:shd w:fill="028090" w:val="clear"/>
          </w:tcPr>
          <w:p w:rsidR="00000000" w:rsidDel="00000000" w:rsidP="00000000" w:rsidRDefault="00000000" w:rsidRPr="00000000" w14:paraId="00000029">
            <w:pPr>
              <w:spacing w:after="80" w:before="0" w:lineRule="auto"/>
              <w:rPr/>
            </w:pPr>
            <w:r w:rsidDel="00000000" w:rsidR="00000000" w:rsidRPr="00000000">
              <w:rPr>
                <w:rtl w:val="0"/>
              </w:rPr>
            </w:r>
          </w:p>
        </w:tc>
        <w:tc>
          <w:tcPr>
            <w:tcBorders>
              <w:top w:color="028090" w:space="0" w:sz="4" w:val="single"/>
              <w:left w:color="000000" w:space="0" w:sz="0" w:val="nil"/>
              <w:bottom w:color="028090" w:space="0" w:sz="4" w:val="single"/>
              <w:right w:color="000000" w:space="0" w:sz="0" w:val="nil"/>
            </w:tcBorders>
            <w:shd w:fill="ffffff" w:val="clear"/>
            <w:tcMar>
              <w:top w:w="120.0" w:type="dxa"/>
              <w:left w:w="140.0" w:type="dxa"/>
              <w:bottom w:w="120.0" w:type="dxa"/>
              <w:right w:w="140.0" w:type="dxa"/>
            </w:tcMar>
          </w:tcPr>
          <w:p w:rsidR="00000000" w:rsidDel="00000000" w:rsidP="00000000" w:rsidRDefault="00000000" w:rsidRPr="00000000" w14:paraId="0000002A">
            <w:pPr>
              <w:spacing w:after="100" w:lineRule="auto"/>
              <w:rPr/>
            </w:pPr>
            <w:r w:rsidDel="00000000" w:rsidR="00000000" w:rsidRPr="00000000">
              <w:rPr>
                <w:rFonts w:ascii="Calibri" w:cs="Calibri" w:eastAsia="Calibri" w:hAnsi="Calibri"/>
                <w:b w:val="1"/>
                <w:bCs w:val="1"/>
                <w:i w:val="0"/>
                <w:iCs w:val="0"/>
                <w:color w:val="1f3864"/>
                <w:sz w:val="24"/>
                <w:szCs w:val="24"/>
                <w:rtl w:val="0"/>
              </w:rPr>
              <w:t xml:space="preserve">Mr. Foster</w:t>
            </w:r>
            <w:r w:rsidDel="00000000" w:rsidR="00000000" w:rsidRPr="00000000">
              <w:rPr>
                <w:rtl w:val="0"/>
              </w:rPr>
            </w:r>
          </w:p>
          <w:p w:rsidR="00000000" w:rsidDel="00000000" w:rsidP="00000000" w:rsidRDefault="00000000" w:rsidRPr="00000000" w14:paraId="0000002B">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Mr. Foster is the primary character across the course. You meet him first in Module 1, preparing for a diverse third-grade class. By Module 4, he is a fifth-grade inclusion teacher navigating the final weeks of the school year with students he has known since August. He is not a model teacher. He is a good teacher who is still learning — organized, warm, and genuinely trying to understand the students in front of him. He will misread behavior, use the wrong intervention, and then figure out why it didn’t work. That process is the point</w:t>
            </w:r>
            <w:r w:rsidDel="00000000" w:rsidR="00000000" w:rsidRPr="00000000">
              <w:rPr>
                <w:rFonts w:ascii="Calibri" w:cs="Calibri" w:eastAsia="Calibri" w:hAnsi="Calibri"/>
                <w:color w:val="1a2b3c"/>
                <w:sz w:val="22"/>
                <w:szCs w:val="22"/>
                <w:rtl w:val="0"/>
              </w:rPr>
              <w:t xml:space="preserve">.</w:t>
            </w:r>
            <w:r w:rsidDel="00000000" w:rsidR="00000000" w:rsidRPr="00000000">
              <w:rPr>
                <w:rtl w:val="0"/>
              </w:rPr>
            </w:r>
          </w:p>
          <w:p w:rsidR="00000000" w:rsidDel="00000000" w:rsidP="00000000" w:rsidRDefault="00000000" w:rsidRPr="00000000" w14:paraId="0000002C">
            <w:pPr>
              <w:spacing w:after="40" w:before="0" w:lineRule="auto"/>
              <w:rPr/>
            </w:pPr>
            <w:r w:rsidDel="00000000" w:rsidR="00000000" w:rsidRPr="00000000">
              <w:rPr>
                <w:rtl w:val="0"/>
              </w:rPr>
            </w:r>
          </w:p>
          <w:p w:rsidR="00000000" w:rsidDel="00000000" w:rsidP="00000000" w:rsidRDefault="00000000" w:rsidRPr="00000000" w14:paraId="0000002D">
            <w:pPr>
              <w:spacing w:after="100" w:lineRule="auto"/>
              <w:rPr/>
            </w:pPr>
            <w:r w:rsidDel="00000000" w:rsidR="00000000" w:rsidRPr="00000000">
              <w:rPr>
                <w:rFonts w:ascii="Calibri" w:cs="Calibri" w:eastAsia="Calibri" w:hAnsi="Calibri"/>
                <w:b w:val="1"/>
                <w:bCs w:val="1"/>
                <w:i w:val="0"/>
                <w:iCs w:val="0"/>
                <w:color w:val="1f3864"/>
                <w:sz w:val="24"/>
                <w:szCs w:val="24"/>
                <w:rtl w:val="0"/>
              </w:rPr>
              <w:t xml:space="preserve">Recurring Students</w:t>
            </w:r>
            <w:r w:rsidDel="00000000" w:rsidR="00000000" w:rsidRPr="00000000">
              <w:rPr>
                <w:rtl w:val="0"/>
              </w:rPr>
            </w:r>
          </w:p>
          <w:p w:rsidR="00000000" w:rsidDel="00000000" w:rsidP="00000000" w:rsidRDefault="00000000" w:rsidRPr="00000000" w14:paraId="0000002E">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Several students follow Mr. Foster across modules. Jordan, introduced in Module 2 as a student with ADHD and working memory challenges, reappears in Module 4 as a student with an intellectual disability navigating peer connection and school transition — a deliberate narrative thread that shows how the same student can present different challenges in different contexts and at different stages. Priya, Marcus, Deja, and others appear in single lessons, but their arcs are complete enough to carry the full weight of the concept being illustrated.</w:t>
            </w:r>
            <w:r w:rsidDel="00000000" w:rsidR="00000000" w:rsidRPr="00000000">
              <w:rPr>
                <w:rtl w:val="0"/>
              </w:rPr>
            </w:r>
          </w:p>
        </w:tc>
        <w:tc>
          <w:tcPr>
            <w:tcBorders>
              <w:top w:color="028090" w:space="0" w:sz="4" w:val="single"/>
              <w:left w:color="000000" w:space="0" w:sz="0" w:val="nil"/>
              <w:bottom w:color="028090" w:space="0" w:sz="4" w:val="single"/>
              <w:right w:color="028090" w:space="0" w:sz="4" w:val="single"/>
            </w:tcBorders>
            <w:shd w:fill="028090" w:val="clear"/>
          </w:tcPr>
          <w:p w:rsidR="00000000" w:rsidDel="00000000" w:rsidP="00000000" w:rsidRDefault="00000000" w:rsidRPr="00000000" w14:paraId="0000002F">
            <w:pPr>
              <w:spacing w:after="80" w:before="0" w:lineRule="auto"/>
              <w:rPr/>
            </w:pPr>
            <w:r w:rsidDel="00000000" w:rsidR="00000000" w:rsidRPr="00000000">
              <w:rPr>
                <w:rtl w:val="0"/>
              </w:rPr>
            </w:r>
          </w:p>
        </w:tc>
      </w:tr>
    </w:tbl>
    <w:p w:rsidR="00000000" w:rsidDel="00000000" w:rsidP="00000000" w:rsidRDefault="00000000" w:rsidRPr="00000000" w14:paraId="00000030">
      <w:pPr>
        <w:spacing w:after="80" w:before="0" w:lineRule="auto"/>
        <w:rPr/>
      </w:pPr>
      <w:r w:rsidDel="00000000" w:rsidR="00000000" w:rsidRPr="00000000">
        <w:rPr>
          <w:rtl w:val="0"/>
        </w:rPr>
      </w:r>
    </w:p>
    <w:p w:rsidR="00000000" w:rsidDel="00000000" w:rsidP="00000000" w:rsidRDefault="00000000" w:rsidRPr="00000000" w14:paraId="00000031">
      <w:pPr>
        <w:spacing w:after="120" w:before="240" w:lineRule="auto"/>
        <w:rPr/>
      </w:pPr>
      <w:r w:rsidDel="00000000" w:rsidR="00000000" w:rsidRPr="00000000">
        <w:rPr>
          <w:rFonts w:ascii="Calibri" w:cs="Calibri" w:eastAsia="Calibri" w:hAnsi="Calibri"/>
          <w:b w:val="1"/>
          <w:bCs w:val="1"/>
          <w:i w:val="0"/>
          <w:iCs w:val="0"/>
          <w:color w:val="1f3864"/>
          <w:sz w:val="32"/>
          <w:szCs w:val="32"/>
          <w:rtl w:val="0"/>
        </w:rPr>
        <w:t xml:space="preserve">How to Read a Case Study</w:t>
      </w:r>
      <w:r w:rsidDel="00000000" w:rsidR="00000000" w:rsidRPr="00000000">
        <w:rPr>
          <w:rtl w:val="0"/>
        </w:rPr>
      </w:r>
    </w:p>
    <w:p w:rsidR="00000000" w:rsidDel="00000000" w:rsidP="00000000" w:rsidRDefault="00000000" w:rsidRPr="00000000" w14:paraId="00000032">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case studies are designed to be read actively, not passively. Here are the habits that will help you get the most from them:</w:t>
      </w:r>
      <w:r w:rsidDel="00000000" w:rsidR="00000000" w:rsidRPr="00000000">
        <w:rPr>
          <w:rtl w:val="0"/>
        </w:rPr>
      </w:r>
    </w:p>
    <w:p w:rsidR="00000000" w:rsidDel="00000000" w:rsidP="00000000" w:rsidRDefault="00000000" w:rsidRPr="00000000" w14:paraId="00000033">
      <w:pPr>
        <w:spacing w:after="40" w:before="0" w:lineRule="auto"/>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2"/>
          <w:szCs w:val="22"/>
          <w:u w:val="none"/>
          <w:shd w:fill="auto" w:val="clear"/>
          <w:vertAlign w:val="baseline"/>
          <w:rtl w:val="0"/>
        </w:rPr>
        <w:t xml:space="preserve">Read the About This Case Study paragraph carefully before you begin the narrative. It tells you what the case is designed to show and where it fits in the arc of the module. This context changes how you read.</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2"/>
          <w:szCs w:val="22"/>
          <w:u w:val="none"/>
          <w:shd w:fill="auto" w:val="clear"/>
          <w:vertAlign w:val="baseline"/>
          <w:rtl w:val="0"/>
        </w:rPr>
        <w:t xml:space="preserve">When Mr. Foster makes a mistake — and he will — name it before reading on. What did he misread? What was he targeting? What would you have done instead? The case studies are more useful when you have a hypothesis before you see the answer.</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2"/>
          <w:szCs w:val="22"/>
          <w:u w:val="none"/>
          <w:shd w:fill="auto" w:val="clear"/>
          <w:vertAlign w:val="baseline"/>
          <w:rtl w:val="0"/>
        </w:rPr>
        <w:t xml:space="preserve">Pay attention to the callout boxes. They are not interruptions — they are the course vocabulary being applied in real time. If a concept from the lesson shows up in a callout box mid-narrative, it is worth pausing to locate that concept in the lesson before continuing.</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2"/>
          <w:szCs w:val="22"/>
          <w:u w:val="none"/>
          <w:shd w:fill="auto" w:val="clear"/>
          <w:vertAlign w:val="baseline"/>
          <w:rtl w:val="0"/>
        </w:rPr>
        <w:t xml:space="preserve">For multi-part case studies (Modules 3 and 4), stop at the reflection question before reading the next part. The question is asking you to commit to a position before the narrative tells you what happened. That commitment — and the comparison between your answer and what you read next — is the learning mechanism.</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2"/>
          <w:szCs w:val="22"/>
          <w:u w:val="none"/>
          <w:shd w:fill="auto" w:val="clear"/>
          <w:vertAlign w:val="baseline"/>
          <w:rtl w:val="0"/>
        </w:rPr>
        <w:t xml:space="preserve">The reflection questions at the end are not optional. Even if you are reading independently rather than in a group, write at least a sentence or two in response to each one. The act of formulating a written answer is different from reading the question and thinking “I know that.”</w:t>
      </w:r>
      <w:r w:rsidDel="00000000" w:rsidR="00000000" w:rsidRPr="00000000">
        <w:rPr>
          <w:rtl w:val="0"/>
        </w:rPr>
      </w:r>
    </w:p>
    <w:p w:rsidR="00000000" w:rsidDel="00000000" w:rsidP="00000000" w:rsidRDefault="00000000" w:rsidRPr="00000000" w14:paraId="00000039">
      <w:pPr>
        <w:spacing w:after="80" w:before="0" w:lineRule="auto"/>
        <w:rPr/>
      </w:pPr>
      <w:r w:rsidDel="00000000" w:rsidR="00000000" w:rsidRPr="00000000">
        <w:rPr>
          <w:rtl w:val="0"/>
        </w:rPr>
      </w:r>
    </w:p>
    <w:p w:rsidR="00000000" w:rsidDel="00000000" w:rsidP="00000000" w:rsidRDefault="00000000" w:rsidRPr="00000000" w14:paraId="0000003A">
      <w:pPr>
        <w:spacing w:after="120" w:before="240" w:lineRule="auto"/>
        <w:rPr/>
      </w:pPr>
      <w:r w:rsidDel="00000000" w:rsidR="00000000" w:rsidRPr="00000000">
        <w:rPr>
          <w:rFonts w:ascii="Calibri" w:cs="Calibri" w:eastAsia="Calibri" w:hAnsi="Calibri"/>
          <w:b w:val="1"/>
          <w:bCs w:val="1"/>
          <w:i w:val="0"/>
          <w:iCs w:val="0"/>
          <w:color w:val="1f3864"/>
          <w:sz w:val="32"/>
          <w:szCs w:val="32"/>
          <w:rtl w:val="0"/>
        </w:rPr>
        <w:t xml:space="preserve">How to Use the Reflection Questions</w:t>
      </w:r>
      <w:r w:rsidDel="00000000" w:rsidR="00000000" w:rsidRPr="00000000">
        <w:rPr>
          <w:rtl w:val="0"/>
        </w:rPr>
      </w:r>
    </w:p>
    <w:p w:rsidR="00000000" w:rsidDel="00000000" w:rsidP="00000000" w:rsidRDefault="00000000" w:rsidRPr="00000000" w14:paraId="0000003B">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reflection questions are the primary site of transfer — where lesson content moves from the page to your practice. They are written to work in three different contexts:</w:t>
      </w:r>
      <w:r w:rsidDel="00000000" w:rsidR="00000000" w:rsidRPr="00000000">
        <w:rPr>
          <w:rtl w:val="0"/>
        </w:rPr>
      </w:r>
    </w:p>
    <w:p w:rsidR="00000000" w:rsidDel="00000000" w:rsidP="00000000" w:rsidRDefault="00000000" w:rsidRPr="00000000" w14:paraId="0000003C">
      <w:pPr>
        <w:spacing w:after="4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28090" w:space="0" w:sz="4" w:val="single"/>
              <w:left w:color="028090" w:space="0" w:sz="6" w:val="single"/>
              <w:bottom w:color="028090" w:space="0" w:sz="4" w:val="single"/>
              <w:right w:color="028090" w:space="0" w:sz="4" w:val="single"/>
            </w:tcBorders>
            <w:shd w:fill="d4eef1" w:val="clear"/>
            <w:tcMar>
              <w:top w:w="120.0" w:type="dxa"/>
              <w:left w:w="180.0" w:type="dxa"/>
              <w:bottom w:w="120.0" w:type="dxa"/>
              <w:right w:w="180.0" w:type="dxa"/>
            </w:tcMar>
          </w:tcPr>
          <w:p w:rsidR="00000000" w:rsidDel="00000000" w:rsidP="00000000" w:rsidRDefault="00000000" w:rsidRPr="00000000" w14:paraId="0000003D">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Independent study</w:t>
            </w:r>
            <w:r w:rsidDel="00000000" w:rsidR="00000000" w:rsidRPr="00000000">
              <w:rPr>
                <w:rtl w:val="0"/>
              </w:rPr>
            </w:r>
          </w:p>
          <w:p w:rsidR="00000000" w:rsidDel="00000000" w:rsidP="00000000" w:rsidRDefault="00000000" w:rsidRPr="00000000" w14:paraId="0000003E">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If you are working through the course on your own, treat the reflection questions as a written journal. Don’t answer them in your head. The discipline of writing forces you to move from recognition (“I see what he did”) to articulation (“Here is why it worked, in these terms, and here is how it applies to this student in my classroom”). The difference matters.</w:t>
            </w:r>
            <w:r w:rsidDel="00000000" w:rsidR="00000000" w:rsidRPr="00000000">
              <w:rPr>
                <w:rtl w:val="0"/>
              </w:rPr>
            </w:r>
          </w:p>
          <w:p w:rsidR="00000000" w:rsidDel="00000000" w:rsidP="00000000" w:rsidRDefault="00000000" w:rsidRPr="00000000" w14:paraId="0000003F">
            <w:pPr>
              <w:spacing w:after="60" w:before="0" w:lineRule="auto"/>
              <w:rPr/>
            </w:pPr>
            <w:r w:rsidDel="00000000" w:rsidR="00000000" w:rsidRPr="00000000">
              <w:rPr>
                <w:rtl w:val="0"/>
              </w:rPr>
            </w:r>
          </w:p>
          <w:p w:rsidR="00000000" w:rsidDel="00000000" w:rsidP="00000000" w:rsidRDefault="00000000" w:rsidRPr="00000000" w14:paraId="00000040">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Facilitated group</w:t>
            </w:r>
            <w:r w:rsidDel="00000000" w:rsidR="00000000" w:rsidRPr="00000000">
              <w:rPr>
                <w:rtl w:val="0"/>
              </w:rPr>
            </w:r>
          </w:p>
          <w:p w:rsidR="00000000" w:rsidDel="00000000" w:rsidP="00000000" w:rsidRDefault="00000000" w:rsidRPr="00000000" w14:paraId="00000041">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If you are working through the course with a cohort or professional learning community, the reflection questions are designed to anchor discussion rather than close it. The most productive use is to give participants five minutes to write independently before opening the room — this ensures that the first voice heard doesn’t become the only framework for the conversation.</w:t>
            </w:r>
            <w:r w:rsidDel="00000000" w:rsidR="00000000" w:rsidRPr="00000000">
              <w:rPr>
                <w:rtl w:val="0"/>
              </w:rPr>
            </w:r>
          </w:p>
          <w:p w:rsidR="00000000" w:rsidDel="00000000" w:rsidP="00000000" w:rsidRDefault="00000000" w:rsidRPr="00000000" w14:paraId="00000042">
            <w:pPr>
              <w:spacing w:after="60" w:before="0" w:lineRule="auto"/>
              <w:rPr/>
            </w:pPr>
            <w:r w:rsidDel="00000000" w:rsidR="00000000" w:rsidRPr="00000000">
              <w:rPr>
                <w:rtl w:val="0"/>
              </w:rPr>
            </w:r>
          </w:p>
          <w:p w:rsidR="00000000" w:rsidDel="00000000" w:rsidP="00000000" w:rsidRDefault="00000000" w:rsidRPr="00000000" w14:paraId="00000043">
            <w:pPr>
              <w:spacing w:after="80" w:lineRule="auto"/>
              <w:rPr/>
            </w:pPr>
            <w:r w:rsidDel="00000000" w:rsidR="00000000" w:rsidRPr="00000000">
              <w:rPr>
                <w:rFonts w:ascii="Calibri" w:cs="Calibri" w:eastAsia="Calibri" w:hAnsi="Calibri"/>
                <w:b w:val="1"/>
                <w:bCs w:val="1"/>
                <w:i w:val="0"/>
                <w:iCs w:val="0"/>
                <w:color w:val="1a2b3c"/>
                <w:sz w:val="22"/>
                <w:szCs w:val="22"/>
                <w:rtl w:val="0"/>
              </w:rPr>
              <w:t xml:space="preserve">Coaching or supervision context</w:t>
            </w:r>
            <w:r w:rsidDel="00000000" w:rsidR="00000000" w:rsidRPr="00000000">
              <w:rPr>
                <w:rtl w:val="0"/>
              </w:rPr>
            </w:r>
          </w:p>
          <w:p w:rsidR="00000000" w:rsidDel="00000000" w:rsidP="00000000" w:rsidRDefault="00000000" w:rsidRPr="00000000" w14:paraId="00000044">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questions can be used as pre-observation prompts (“Which student in your classroom has a profile like Jordan’s?”), post-observation debrief anchors, or goal-setting frames. Many of them name a specific student type, behavior pattern, or structural problem — and ask you to locate the equivalent in your own context. That locating is the work.</w:t>
            </w:r>
            <w:r w:rsidDel="00000000" w:rsidR="00000000" w:rsidRPr="00000000">
              <w:rPr>
                <w:rtl w:val="0"/>
              </w:rPr>
            </w:r>
          </w:p>
        </w:tc>
      </w:tr>
    </w:tbl>
    <w:p w:rsidR="00000000" w:rsidDel="00000000" w:rsidP="00000000" w:rsidRDefault="00000000" w:rsidRPr="00000000" w14:paraId="00000045">
      <w:pPr>
        <w:spacing w:after="80" w:before="0" w:lineRule="auto"/>
        <w:rPr/>
      </w:pPr>
      <w:r w:rsidDel="00000000" w:rsidR="00000000" w:rsidRPr="00000000">
        <w:rPr>
          <w:rtl w:val="0"/>
        </w:rPr>
      </w:r>
    </w:p>
    <w:p w:rsidR="00000000" w:rsidDel="00000000" w:rsidP="00000000" w:rsidRDefault="00000000" w:rsidRPr="00000000" w14:paraId="00000046">
      <w:pPr>
        <w:spacing w:after="120" w:before="240" w:lineRule="auto"/>
        <w:rPr/>
      </w:pPr>
      <w:r w:rsidDel="00000000" w:rsidR="00000000" w:rsidRPr="00000000">
        <w:rPr>
          <w:rFonts w:ascii="Calibri" w:cs="Calibri" w:eastAsia="Calibri" w:hAnsi="Calibri"/>
          <w:b w:val="1"/>
          <w:bCs w:val="1"/>
          <w:i w:val="0"/>
          <w:iCs w:val="0"/>
          <w:color w:val="1f3864"/>
          <w:sz w:val="32"/>
          <w:szCs w:val="32"/>
          <w:rtl w:val="0"/>
        </w:rPr>
        <w:t xml:space="preserve">How the Case Studies Build Across Modules</w:t>
      </w:r>
      <w:r w:rsidDel="00000000" w:rsidR="00000000" w:rsidRPr="00000000">
        <w:rPr>
          <w:rtl w:val="0"/>
        </w:rPr>
      </w:r>
    </w:p>
    <w:p w:rsidR="00000000" w:rsidDel="00000000" w:rsidP="00000000" w:rsidRDefault="00000000" w:rsidRPr="00000000" w14:paraId="00000047">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Each module has a distinct focus, and the case studies in each module are calibrated to that focus. But the four modules are not independent units — they build on each other, and the case studies reflect that progression.</w:t>
      </w:r>
      <w:r w:rsidDel="00000000" w:rsidR="00000000" w:rsidRPr="00000000">
        <w:rPr>
          <w:rtl w:val="0"/>
        </w:rPr>
      </w:r>
    </w:p>
    <w:p w:rsidR="00000000" w:rsidDel="00000000" w:rsidP="00000000" w:rsidRDefault="00000000" w:rsidRPr="00000000" w14:paraId="00000048">
      <w:pPr>
        <w:spacing w:after="4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8640"/>
        <w:gridCol w:w="360"/>
        <w:tblGridChange w:id="0">
          <w:tblGrid>
            <w:gridCol w:w="360"/>
            <w:gridCol w:w="8640"/>
            <w:gridCol w:w="360"/>
          </w:tblGrid>
        </w:tblGridChange>
      </w:tblGrid>
      <w:tr>
        <w:trPr>
          <w:cantSplit w:val="0"/>
          <w:tblHeader w:val="0"/>
        </w:trPr>
        <w:tc>
          <w:tcPr>
            <w:tcBorders>
              <w:top w:color="028090" w:space="0" w:sz="4" w:val="single"/>
              <w:left w:color="028090" w:space="0" w:sz="4" w:val="single"/>
              <w:bottom w:color="028090" w:space="0" w:sz="4" w:val="single"/>
              <w:right w:color="000000" w:space="0" w:sz="0" w:val="nil"/>
            </w:tcBorders>
            <w:shd w:fill="028090" w:val="clear"/>
          </w:tcPr>
          <w:p w:rsidR="00000000" w:rsidDel="00000000" w:rsidP="00000000" w:rsidRDefault="00000000" w:rsidRPr="00000000" w14:paraId="00000049">
            <w:pPr>
              <w:spacing w:after="80" w:before="0" w:lineRule="auto"/>
              <w:rPr/>
            </w:pPr>
            <w:r w:rsidDel="00000000" w:rsidR="00000000" w:rsidRPr="00000000">
              <w:rPr>
                <w:rtl w:val="0"/>
              </w:rPr>
            </w:r>
          </w:p>
        </w:tc>
        <w:tc>
          <w:tcPr>
            <w:tcBorders>
              <w:top w:color="028090" w:space="0" w:sz="4" w:val="single"/>
              <w:left w:color="000000" w:space="0" w:sz="0" w:val="nil"/>
              <w:bottom w:color="028090" w:space="0" w:sz="4" w:val="single"/>
              <w:right w:color="000000" w:space="0" w:sz="0" w:val="nil"/>
            </w:tcBorders>
            <w:shd w:fill="ffffff" w:val="clear"/>
            <w:tcMar>
              <w:top w:w="120.0" w:type="dxa"/>
              <w:left w:w="140.0" w:type="dxa"/>
              <w:bottom w:w="120.0" w:type="dxa"/>
              <w:right w:w="140.0" w:type="dxa"/>
            </w:tcMar>
          </w:tcPr>
          <w:p w:rsidR="00000000" w:rsidDel="00000000" w:rsidP="00000000" w:rsidRDefault="00000000" w:rsidRPr="00000000" w14:paraId="0000004A">
            <w:pPr>
              <w:spacing w:after="80" w:lineRule="auto"/>
              <w:rPr/>
            </w:pPr>
            <w:r w:rsidDel="00000000" w:rsidR="00000000" w:rsidRPr="00000000">
              <w:rPr>
                <w:rFonts w:ascii="Calibri" w:cs="Calibri" w:eastAsia="Calibri" w:hAnsi="Calibri"/>
                <w:b w:val="1"/>
                <w:bCs w:val="1"/>
                <w:i w:val="0"/>
                <w:iCs w:val="0"/>
                <w:color w:val="1f3864"/>
                <w:sz w:val="22"/>
                <w:szCs w:val="22"/>
                <w:rtl w:val="0"/>
              </w:rPr>
              <w:t xml:space="preserve">Module 1: Behavior Foundations</w:t>
            </w:r>
            <w:r w:rsidDel="00000000" w:rsidR="00000000" w:rsidRPr="00000000">
              <w:rPr>
                <w:rtl w:val="0"/>
              </w:rPr>
            </w:r>
          </w:p>
          <w:p w:rsidR="00000000" w:rsidDel="00000000" w:rsidP="00000000" w:rsidRDefault="00000000" w:rsidRPr="00000000" w14:paraId="0000004B">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Module 1 case studies establish the foundational frame: how does Mr. Foster think about behavior before he has all the tools? You will see him plan for a diverse classroom, apply reinforcement in practice, teach replacement behaviors, and conduct his first functional observation. These cases are the baseline. When you meet more complex challenges in later modules, you will have this foundation to build on.</w:t>
            </w:r>
            <w:r w:rsidDel="00000000" w:rsidR="00000000" w:rsidRPr="00000000">
              <w:rPr>
                <w:rtl w:val="0"/>
              </w:rPr>
            </w:r>
          </w:p>
          <w:p w:rsidR="00000000" w:rsidDel="00000000" w:rsidP="00000000" w:rsidRDefault="00000000" w:rsidRPr="00000000" w14:paraId="0000004C">
            <w:pPr>
              <w:spacing w:after="60" w:before="0" w:lineRule="auto"/>
              <w:rPr/>
            </w:pPr>
            <w:r w:rsidDel="00000000" w:rsidR="00000000" w:rsidRPr="00000000">
              <w:rPr>
                <w:rtl w:val="0"/>
              </w:rPr>
            </w:r>
          </w:p>
          <w:p w:rsidR="00000000" w:rsidDel="00000000" w:rsidP="00000000" w:rsidRDefault="00000000" w:rsidRPr="00000000" w14:paraId="0000004D">
            <w:pPr>
              <w:spacing w:after="80" w:lineRule="auto"/>
              <w:rPr/>
            </w:pPr>
            <w:r w:rsidDel="00000000" w:rsidR="00000000" w:rsidRPr="00000000">
              <w:rPr>
                <w:rFonts w:ascii="Calibri" w:cs="Calibri" w:eastAsia="Calibri" w:hAnsi="Calibri"/>
                <w:b w:val="1"/>
                <w:bCs w:val="1"/>
                <w:i w:val="0"/>
                <w:iCs w:val="0"/>
                <w:color w:val="1f3864"/>
                <w:sz w:val="22"/>
                <w:szCs w:val="22"/>
                <w:rtl w:val="0"/>
              </w:rPr>
              <w:t xml:space="preserve">Module 2: Understanding Disengagement</w:t>
            </w:r>
            <w:r w:rsidDel="00000000" w:rsidR="00000000" w:rsidRPr="00000000">
              <w:rPr>
                <w:rtl w:val="0"/>
              </w:rPr>
            </w:r>
          </w:p>
          <w:p w:rsidR="00000000" w:rsidDel="00000000" w:rsidP="00000000" w:rsidRDefault="00000000" w:rsidRPr="00000000" w14:paraId="0000004E">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Module 2 deepens the frame. The case studies here move from whole-class behavior management to individual student understanding — social cognition, executive functioning, emotional dysregulation, and motivation. In each case, Mr. Foster’s initial read is wrong. The learning in each case is the shift from the surface behavior to the underlying driver.</w:t>
            </w:r>
            <w:r w:rsidDel="00000000" w:rsidR="00000000" w:rsidRPr="00000000">
              <w:rPr>
                <w:rtl w:val="0"/>
              </w:rPr>
            </w:r>
          </w:p>
          <w:p w:rsidR="00000000" w:rsidDel="00000000" w:rsidP="00000000" w:rsidRDefault="00000000" w:rsidRPr="00000000" w14:paraId="0000004F">
            <w:pPr>
              <w:spacing w:after="60" w:before="0" w:lineRule="auto"/>
              <w:rPr/>
            </w:pPr>
            <w:r w:rsidDel="00000000" w:rsidR="00000000" w:rsidRPr="00000000">
              <w:rPr>
                <w:rtl w:val="0"/>
              </w:rPr>
            </w:r>
          </w:p>
          <w:p w:rsidR="00000000" w:rsidDel="00000000" w:rsidP="00000000" w:rsidRDefault="00000000" w:rsidRPr="00000000" w14:paraId="00000050">
            <w:pPr>
              <w:spacing w:after="80" w:lineRule="auto"/>
              <w:rPr/>
            </w:pPr>
            <w:r w:rsidDel="00000000" w:rsidR="00000000" w:rsidRPr="00000000">
              <w:rPr>
                <w:rFonts w:ascii="Calibri" w:cs="Calibri" w:eastAsia="Calibri" w:hAnsi="Calibri"/>
                <w:b w:val="1"/>
                <w:bCs w:val="1"/>
                <w:i w:val="0"/>
                <w:iCs w:val="0"/>
                <w:color w:val="1f3864"/>
                <w:sz w:val="22"/>
                <w:szCs w:val="22"/>
                <w:rtl w:val="0"/>
              </w:rPr>
              <w:t xml:space="preserve">Module 3: Function-Based Responses</w:t>
            </w:r>
            <w:r w:rsidDel="00000000" w:rsidR="00000000" w:rsidRPr="00000000">
              <w:rPr>
                <w:rtl w:val="0"/>
              </w:rPr>
            </w:r>
          </w:p>
          <w:p w:rsidR="00000000" w:rsidDel="00000000" w:rsidP="00000000" w:rsidRDefault="00000000" w:rsidRPr="00000000" w14:paraId="00000051">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Module 3 introduces the multi-part format, which reflects the increased complexity of the cases. The cases here are longer, more layered, and more explicitly tied to research. Mr. Foster is now in a middle school context — older students, higher stakes, more entrenched patterns. The cases in this module ask you to go further: not just identify what a teacher did, but evaluate it, critique it, and generate alternatives.</w:t>
            </w:r>
            <w:r w:rsidDel="00000000" w:rsidR="00000000" w:rsidRPr="00000000">
              <w:rPr>
                <w:rtl w:val="0"/>
              </w:rPr>
            </w:r>
          </w:p>
          <w:p w:rsidR="00000000" w:rsidDel="00000000" w:rsidP="00000000" w:rsidRDefault="00000000" w:rsidRPr="00000000" w14:paraId="00000052">
            <w:pPr>
              <w:spacing w:after="60" w:before="0" w:lineRule="auto"/>
              <w:rPr/>
            </w:pPr>
            <w:r w:rsidDel="00000000" w:rsidR="00000000" w:rsidRPr="00000000">
              <w:rPr>
                <w:rtl w:val="0"/>
              </w:rPr>
            </w:r>
          </w:p>
          <w:p w:rsidR="00000000" w:rsidDel="00000000" w:rsidP="00000000" w:rsidRDefault="00000000" w:rsidRPr="00000000" w14:paraId="00000053">
            <w:pPr>
              <w:spacing w:after="80" w:lineRule="auto"/>
              <w:rPr/>
            </w:pPr>
            <w:r w:rsidDel="00000000" w:rsidR="00000000" w:rsidRPr="00000000">
              <w:rPr>
                <w:rFonts w:ascii="Calibri" w:cs="Calibri" w:eastAsia="Calibri" w:hAnsi="Calibri"/>
                <w:b w:val="1"/>
                <w:bCs w:val="1"/>
                <w:i w:val="0"/>
                <w:iCs w:val="0"/>
                <w:color w:val="1f3864"/>
                <w:sz w:val="22"/>
                <w:szCs w:val="22"/>
                <w:rtl w:val="0"/>
              </w:rPr>
              <w:t xml:space="preserve">Module 4: Inclusion in Practice</w:t>
            </w:r>
            <w:r w:rsidDel="00000000" w:rsidR="00000000" w:rsidRPr="00000000">
              <w:rPr>
                <w:rtl w:val="0"/>
              </w:rPr>
            </w:r>
          </w:p>
          <w:p w:rsidR="00000000" w:rsidDel="00000000" w:rsidP="00000000" w:rsidRDefault="00000000" w:rsidRPr="00000000" w14:paraId="00000054">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Module 4 zooms out. The case studies here are less about individual student behavior and more about the systems, structures, and relationships that either support or undermine inclusive practice. Mr. Foster is now in April and May — navigating the end of the year, social fabric, transition planning, and the question of what students are actually carrying out of the classroom when they leave.</w:t>
            </w:r>
            <w:r w:rsidDel="00000000" w:rsidR="00000000" w:rsidRPr="00000000">
              <w:rPr>
                <w:rtl w:val="0"/>
              </w:rPr>
            </w:r>
          </w:p>
        </w:tc>
        <w:tc>
          <w:tcPr>
            <w:tcBorders>
              <w:top w:color="028090" w:space="0" w:sz="4" w:val="single"/>
              <w:left w:color="000000" w:space="0" w:sz="0" w:val="nil"/>
              <w:bottom w:color="028090" w:space="0" w:sz="4" w:val="single"/>
              <w:right w:color="028090" w:space="0" w:sz="4" w:val="single"/>
            </w:tcBorders>
            <w:shd w:fill="028090" w:val="clear"/>
          </w:tcPr>
          <w:p w:rsidR="00000000" w:rsidDel="00000000" w:rsidP="00000000" w:rsidRDefault="00000000" w:rsidRPr="00000000" w14:paraId="00000055">
            <w:pPr>
              <w:spacing w:after="80" w:before="0" w:lineRule="auto"/>
              <w:rPr/>
            </w:pPr>
            <w:r w:rsidDel="00000000" w:rsidR="00000000" w:rsidRPr="00000000">
              <w:rPr>
                <w:rtl w:val="0"/>
              </w:rPr>
            </w:r>
          </w:p>
        </w:tc>
      </w:tr>
    </w:tbl>
    <w:p w:rsidR="00000000" w:rsidDel="00000000" w:rsidP="00000000" w:rsidRDefault="00000000" w:rsidRPr="00000000" w14:paraId="00000056">
      <w:pPr>
        <w:spacing w:after="80" w:before="0" w:lineRule="auto"/>
        <w:rPr/>
      </w:pPr>
      <w:r w:rsidDel="00000000" w:rsidR="00000000" w:rsidRPr="00000000">
        <w:rPr>
          <w:rtl w:val="0"/>
        </w:rPr>
      </w:r>
    </w:p>
    <w:p w:rsidR="00000000" w:rsidDel="00000000" w:rsidP="00000000" w:rsidRDefault="00000000" w:rsidRPr="00000000" w14:paraId="00000057">
      <w:pPr>
        <w:spacing w:after="120" w:before="240" w:lineRule="auto"/>
        <w:rPr/>
      </w:pPr>
      <w:r w:rsidDel="00000000" w:rsidR="00000000" w:rsidRPr="00000000">
        <w:rPr>
          <w:rFonts w:ascii="Calibri" w:cs="Calibri" w:eastAsia="Calibri" w:hAnsi="Calibri"/>
          <w:b w:val="1"/>
          <w:bCs w:val="1"/>
          <w:i w:val="0"/>
          <w:iCs w:val="0"/>
          <w:color w:val="1f3864"/>
          <w:sz w:val="32"/>
          <w:szCs w:val="32"/>
          <w:rtl w:val="0"/>
        </w:rPr>
        <w:t xml:space="preserve">All Sixteen Case Studies at a Glance</w:t>
      </w:r>
      <w:r w:rsidDel="00000000" w:rsidR="00000000" w:rsidRPr="00000000">
        <w:rPr>
          <w:rtl w:val="0"/>
        </w:rPr>
      </w:r>
    </w:p>
    <w:p w:rsidR="00000000" w:rsidDel="00000000" w:rsidP="00000000" w:rsidRDefault="00000000" w:rsidRPr="00000000" w14:paraId="00000058">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table below lists every case study in the course by module and lesson. Use it as a reference map as you move through the course.</w:t>
      </w:r>
      <w:r w:rsidDel="00000000" w:rsidR="00000000" w:rsidRPr="00000000">
        <w:rPr>
          <w:rtl w:val="0"/>
        </w:rPr>
      </w:r>
    </w:p>
    <w:p w:rsidR="00000000" w:rsidDel="00000000" w:rsidP="00000000" w:rsidRDefault="00000000" w:rsidRPr="00000000" w14:paraId="00000059">
      <w:pPr>
        <w:spacing w:after="6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7200"/>
        <w:tblGridChange w:id="0">
          <w:tblGrid>
            <w:gridCol w:w="2160"/>
            <w:gridCol w:w="7200"/>
          </w:tblGrid>
        </w:tblGridChange>
      </w:tblGrid>
      <w:tr>
        <w:trPr>
          <w:cantSplit w:val="0"/>
          <w:tblHeader w:val="0"/>
        </w:trPr>
        <w:tc>
          <w:tcPr>
            <w:tcBorders>
              <w:top w:color="028090" w:space="0" w:sz="4" w:val="single"/>
              <w:left w:color="028090" w:space="0" w:sz="4" w:val="single"/>
              <w:bottom w:color="028090" w:space="0" w:sz="4" w:val="single"/>
              <w:right w:color="ffffff" w:space="0" w:sz="4" w:val="single"/>
            </w:tcBorders>
            <w:shd w:fill="028090" w:val="clear"/>
            <w:tcMar>
              <w:top w:w="100.0" w:type="dxa"/>
              <w:left w:w="140.0" w:type="dxa"/>
              <w:bottom w:w="100.0" w:type="dxa"/>
              <w:right w:w="140.0" w:type="dxa"/>
            </w:tcMar>
          </w:tcPr>
          <w:p w:rsidR="00000000" w:rsidDel="00000000" w:rsidP="00000000" w:rsidRDefault="00000000" w:rsidRPr="00000000" w14:paraId="0000005A">
            <w:pPr>
              <w:spacing w:after="0" w:lineRule="auto"/>
              <w:rPr/>
            </w:pPr>
            <w:r w:rsidDel="00000000" w:rsidR="00000000" w:rsidRPr="00000000">
              <w:rPr>
                <w:rFonts w:ascii="Calibri" w:cs="Calibri" w:eastAsia="Calibri" w:hAnsi="Calibri"/>
                <w:b w:val="1"/>
                <w:bCs w:val="1"/>
                <w:i w:val="0"/>
                <w:iCs w:val="0"/>
                <w:color w:val="ffffff"/>
                <w:sz w:val="22"/>
                <w:szCs w:val="22"/>
                <w:rtl w:val="0"/>
              </w:rPr>
              <w:t xml:space="preserve">Module</w:t>
            </w:r>
            <w:r w:rsidDel="00000000" w:rsidR="00000000" w:rsidRPr="00000000">
              <w:rPr>
                <w:rtl w:val="0"/>
              </w:rPr>
            </w:r>
          </w:p>
        </w:tc>
        <w:tc>
          <w:tcPr>
            <w:tcBorders>
              <w:top w:color="028090" w:space="0" w:sz="4" w:val="single"/>
              <w:left w:color="ffffff" w:space="0" w:sz="4" w:val="single"/>
              <w:bottom w:color="028090" w:space="0" w:sz="4" w:val="single"/>
              <w:right w:color="028090" w:space="0" w:sz="4" w:val="single"/>
            </w:tcBorders>
            <w:shd w:fill="028090" w:val="clear"/>
            <w:tcMar>
              <w:top w:w="100.0" w:type="dxa"/>
              <w:left w:w="140.0" w:type="dxa"/>
              <w:bottom w:w="100.0" w:type="dxa"/>
              <w:right w:w="140.0" w:type="dxa"/>
            </w:tcMar>
          </w:tcPr>
          <w:p w:rsidR="00000000" w:rsidDel="00000000" w:rsidP="00000000" w:rsidRDefault="00000000" w:rsidRPr="00000000" w14:paraId="0000005B">
            <w:pPr>
              <w:spacing w:after="0" w:lineRule="auto"/>
              <w:rPr/>
            </w:pPr>
            <w:r w:rsidDel="00000000" w:rsidR="00000000" w:rsidRPr="00000000">
              <w:rPr>
                <w:rFonts w:ascii="Calibri" w:cs="Calibri" w:eastAsia="Calibri" w:hAnsi="Calibri"/>
                <w:b w:val="1"/>
                <w:bCs w:val="1"/>
                <w:i w:val="0"/>
                <w:iCs w:val="0"/>
                <w:color w:val="ffffff"/>
                <w:sz w:val="20"/>
                <w:szCs w:val="20"/>
                <w:rtl w:val="0"/>
              </w:rPr>
              <w:t xml:space="preserve"> </w:t>
            </w:r>
            <w:r w:rsidDel="00000000" w:rsidR="00000000" w:rsidRPr="00000000">
              <w:rPr>
                <w:rFonts w:ascii="Calibri" w:cs="Calibri" w:eastAsia="Calibri" w:hAnsi="Calibri"/>
                <w:b w:val="0"/>
                <w:bCs w:val="0"/>
                <w:i w:val="0"/>
                <w:iCs w:val="0"/>
                <w:color w:val="ffffff"/>
                <w:sz w:val="20"/>
                <w:szCs w:val="20"/>
                <w:rtl w:val="0"/>
              </w:rPr>
              <w:t xml:space="preserve">Case Studies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ffffff" w:space="0" w:sz="4" w:val="single"/>
            </w:tcBorders>
            <w:shd w:fill="d4eef1" w:val="clear"/>
            <w:tcMar>
              <w:top w:w="100.0" w:type="dxa"/>
              <w:left w:w="140.0" w:type="dxa"/>
              <w:bottom w:w="100.0" w:type="dxa"/>
              <w:right w:w="140.0" w:type="dxa"/>
            </w:tcMar>
          </w:tcPr>
          <w:p w:rsidR="00000000" w:rsidDel="00000000" w:rsidP="00000000" w:rsidRDefault="00000000" w:rsidRPr="00000000" w14:paraId="0000005C">
            <w:pPr>
              <w:spacing w:after="0" w:lineRule="auto"/>
              <w:rPr/>
            </w:pPr>
            <w:r w:rsidDel="00000000" w:rsidR="00000000" w:rsidRPr="00000000">
              <w:rPr>
                <w:rFonts w:ascii="Calibri" w:cs="Calibri" w:eastAsia="Calibri" w:hAnsi="Calibri"/>
                <w:b w:val="1"/>
                <w:bCs w:val="1"/>
                <w:i w:val="0"/>
                <w:iCs w:val="0"/>
                <w:color w:val="1f3864"/>
                <w:sz w:val="22"/>
                <w:szCs w:val="22"/>
                <w:rtl w:val="0"/>
              </w:rPr>
              <w:t xml:space="preserve">Module 1Behavior Foundations</w:t>
            </w:r>
            <w:r w:rsidDel="00000000" w:rsidR="00000000" w:rsidRPr="00000000">
              <w:rPr>
                <w:rtl w:val="0"/>
              </w:rPr>
            </w:r>
          </w:p>
        </w:tc>
        <w:tc>
          <w:tcPr>
            <w:tcBorders>
              <w:top w:color="028090" w:space="0" w:sz="4" w:val="single"/>
              <w:left w:color="ffffff" w:space="0" w:sz="4" w:val="single"/>
              <w:bottom w:color="028090" w:space="0" w:sz="4" w:val="single"/>
              <w:right w:color="028090"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1.1 </w:t>
            </w:r>
            <w:r w:rsidDel="00000000" w:rsidR="00000000" w:rsidRPr="00000000">
              <w:rPr>
                <w:rFonts w:ascii="Calibri" w:cs="Calibri" w:eastAsia="Calibri" w:hAnsi="Calibri"/>
                <w:b w:val="0"/>
                <w:bCs w:val="0"/>
                <w:i w:val="0"/>
                <w:iCs w:val="0"/>
                <w:color w:val="1a2b3c"/>
                <w:sz w:val="20"/>
                <w:szCs w:val="20"/>
                <w:rtl w:val="0"/>
              </w:rPr>
              <w:t xml:space="preserve">Mr. Foster Prepares for a Diverse Third Grade Classroom</w:t>
            </w:r>
            <w:r w:rsidDel="00000000" w:rsidR="00000000" w:rsidRPr="00000000">
              <w:rPr>
                <w:rtl w:val="0"/>
              </w:rPr>
            </w:r>
          </w:p>
          <w:p w:rsidR="00000000" w:rsidDel="00000000" w:rsidP="00000000" w:rsidRDefault="00000000" w:rsidRPr="00000000" w14:paraId="0000005E">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1.2 </w:t>
            </w:r>
            <w:r w:rsidDel="00000000" w:rsidR="00000000" w:rsidRPr="00000000">
              <w:rPr>
                <w:rFonts w:ascii="Calibri" w:cs="Calibri" w:eastAsia="Calibri" w:hAnsi="Calibri"/>
                <w:b w:val="0"/>
                <w:bCs w:val="0"/>
                <w:i w:val="0"/>
                <w:iCs w:val="0"/>
                <w:color w:val="1a2b3c"/>
                <w:sz w:val="20"/>
                <w:szCs w:val="20"/>
                <w:rtl w:val="0"/>
              </w:rPr>
              <w:t xml:space="preserve">Mr. Foster and the Human Side of Reinforcement</w:t>
            </w:r>
            <w:r w:rsidDel="00000000" w:rsidR="00000000" w:rsidRPr="00000000">
              <w:rPr>
                <w:rtl w:val="0"/>
              </w:rPr>
            </w:r>
          </w:p>
          <w:p w:rsidR="00000000" w:rsidDel="00000000" w:rsidP="00000000" w:rsidRDefault="00000000" w:rsidRPr="00000000" w14:paraId="0000005F">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1.3 </w:t>
            </w:r>
            <w:r w:rsidDel="00000000" w:rsidR="00000000" w:rsidRPr="00000000">
              <w:rPr>
                <w:rFonts w:ascii="Calibri" w:cs="Calibri" w:eastAsia="Calibri" w:hAnsi="Calibri"/>
                <w:b w:val="0"/>
                <w:bCs w:val="0"/>
                <w:i w:val="0"/>
                <w:iCs w:val="0"/>
                <w:color w:val="1a2b3c"/>
                <w:sz w:val="20"/>
                <w:szCs w:val="20"/>
                <w:rtl w:val="0"/>
              </w:rPr>
              <w:t xml:space="preserve">Mr. Foster, Jasmine, and the Art of Teaching What You Mean</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Calibri" w:cs="Calibri" w:eastAsia="Calibri" w:hAnsi="Calibri"/>
                <w:b w:val="1"/>
                <w:bCs w:val="1"/>
                <w:i w:val="0"/>
                <w:iCs w:val="0"/>
                <w:color w:val="1f3864"/>
                <w:sz w:val="20"/>
                <w:szCs w:val="20"/>
                <w:rtl w:val="0"/>
              </w:rPr>
              <w:t xml:space="preserve">1.4 </w:t>
            </w:r>
            <w:r w:rsidDel="00000000" w:rsidR="00000000" w:rsidRPr="00000000">
              <w:rPr>
                <w:rFonts w:ascii="Calibri" w:cs="Calibri" w:eastAsia="Calibri" w:hAnsi="Calibri"/>
                <w:b w:val="0"/>
                <w:bCs w:val="0"/>
                <w:i w:val="0"/>
                <w:iCs w:val="0"/>
                <w:color w:val="1a2b3c"/>
                <w:sz w:val="20"/>
                <w:szCs w:val="20"/>
                <w:rtl w:val="0"/>
              </w:rPr>
              <w:t xml:space="preserve">Cody and the Question Behind the Shutdown</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ffffff" w:space="0" w:sz="4" w:val="single"/>
            </w:tcBorders>
            <w:shd w:fill="d4eef1" w:val="clear"/>
            <w:tcMar>
              <w:top w:w="100.0" w:type="dxa"/>
              <w:left w:w="140.0" w:type="dxa"/>
              <w:bottom w:w="100.0" w:type="dxa"/>
              <w:right w:w="140.0" w:type="dxa"/>
            </w:tcMar>
          </w:tcPr>
          <w:p w:rsidR="00000000" w:rsidDel="00000000" w:rsidP="00000000" w:rsidRDefault="00000000" w:rsidRPr="00000000" w14:paraId="00000061">
            <w:pPr>
              <w:spacing w:after="0" w:lineRule="auto"/>
              <w:rPr/>
            </w:pPr>
            <w:r w:rsidDel="00000000" w:rsidR="00000000" w:rsidRPr="00000000">
              <w:rPr>
                <w:rFonts w:ascii="Calibri" w:cs="Calibri" w:eastAsia="Calibri" w:hAnsi="Calibri"/>
                <w:b w:val="1"/>
                <w:bCs w:val="1"/>
                <w:i w:val="0"/>
                <w:iCs w:val="0"/>
                <w:color w:val="1f3864"/>
                <w:sz w:val="22"/>
                <w:szCs w:val="22"/>
                <w:rtl w:val="0"/>
              </w:rPr>
              <w:t xml:space="preserve">Module 2Understanding Disengagement</w:t>
            </w:r>
            <w:r w:rsidDel="00000000" w:rsidR="00000000" w:rsidRPr="00000000">
              <w:rPr>
                <w:rtl w:val="0"/>
              </w:rPr>
            </w:r>
          </w:p>
        </w:tc>
        <w:tc>
          <w:tcPr>
            <w:tcBorders>
              <w:top w:color="028090" w:space="0" w:sz="4" w:val="single"/>
              <w:left w:color="ffffff" w:space="0" w:sz="4" w:val="single"/>
              <w:bottom w:color="028090" w:space="0" w:sz="4" w:val="single"/>
              <w:right w:color="028090" w:space="0" w:sz="4" w:val="single"/>
            </w:tcBorders>
            <w:shd w:fill="ffffff" w:val="clear"/>
            <w:tcMar>
              <w:top w:w="100.0" w:type="dxa"/>
              <w:left w:w="140.0" w:type="dxa"/>
              <w:bottom w:w="100.0" w:type="dxa"/>
              <w:right w:w="140.0" w:type="dxa"/>
            </w:tcMar>
          </w:tcPr>
          <w:p w:rsidR="00000000" w:rsidDel="00000000" w:rsidP="00000000" w:rsidRDefault="00000000" w:rsidRPr="00000000" w14:paraId="00000062">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2.1 </w:t>
            </w:r>
            <w:r w:rsidDel="00000000" w:rsidR="00000000" w:rsidRPr="00000000">
              <w:rPr>
                <w:rFonts w:ascii="Calibri" w:cs="Calibri" w:eastAsia="Calibri" w:hAnsi="Calibri"/>
                <w:b w:val="0"/>
                <w:bCs w:val="0"/>
                <w:i w:val="0"/>
                <w:iCs w:val="0"/>
                <w:color w:val="1a2b3c"/>
                <w:sz w:val="20"/>
                <w:szCs w:val="20"/>
                <w:rtl w:val="0"/>
              </w:rPr>
              <w:t xml:space="preserve">Mr. Foster and the Social Minefield of Third Grade</w:t>
            </w:r>
            <w:r w:rsidDel="00000000" w:rsidR="00000000" w:rsidRPr="00000000">
              <w:rPr>
                <w:rtl w:val="0"/>
              </w:rPr>
            </w:r>
          </w:p>
          <w:p w:rsidR="00000000" w:rsidDel="00000000" w:rsidP="00000000" w:rsidRDefault="00000000" w:rsidRPr="00000000" w14:paraId="00000063">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2.2 </w:t>
            </w:r>
            <w:r w:rsidDel="00000000" w:rsidR="00000000" w:rsidRPr="00000000">
              <w:rPr>
                <w:rFonts w:ascii="Calibri" w:cs="Calibri" w:eastAsia="Calibri" w:hAnsi="Calibri"/>
                <w:b w:val="0"/>
                <w:bCs w:val="0"/>
                <w:i w:val="0"/>
                <w:iCs w:val="0"/>
                <w:color w:val="1a2b3c"/>
                <w:sz w:val="20"/>
                <w:szCs w:val="20"/>
                <w:rtl w:val="0"/>
              </w:rPr>
              <w:t xml:space="preserve">Mr. Foster and the Student Who “Just Won’t Start”</w:t>
            </w:r>
            <w:r w:rsidDel="00000000" w:rsidR="00000000" w:rsidRPr="00000000">
              <w:rPr>
                <w:rtl w:val="0"/>
              </w:rPr>
            </w:r>
          </w:p>
          <w:p w:rsidR="00000000" w:rsidDel="00000000" w:rsidP="00000000" w:rsidRDefault="00000000" w:rsidRPr="00000000" w14:paraId="00000064">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2.3 </w:t>
            </w:r>
            <w:r w:rsidDel="00000000" w:rsidR="00000000" w:rsidRPr="00000000">
              <w:rPr>
                <w:rFonts w:ascii="Calibri" w:cs="Calibri" w:eastAsia="Calibri" w:hAnsi="Calibri"/>
                <w:b w:val="0"/>
                <w:bCs w:val="0"/>
                <w:i w:val="0"/>
                <w:iCs w:val="0"/>
                <w:color w:val="1a2b3c"/>
                <w:sz w:val="20"/>
                <w:szCs w:val="20"/>
                <w:rtl w:val="0"/>
              </w:rPr>
              <w:t xml:space="preserve">Mr. Foster and the Volcano</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Calibri" w:cs="Calibri" w:eastAsia="Calibri" w:hAnsi="Calibri"/>
                <w:b w:val="1"/>
                <w:bCs w:val="1"/>
                <w:i w:val="0"/>
                <w:iCs w:val="0"/>
                <w:color w:val="1f3864"/>
                <w:sz w:val="20"/>
                <w:szCs w:val="20"/>
                <w:rtl w:val="0"/>
              </w:rPr>
              <w:t xml:space="preserve">2.4 </w:t>
            </w:r>
            <w:r w:rsidDel="00000000" w:rsidR="00000000" w:rsidRPr="00000000">
              <w:rPr>
                <w:rFonts w:ascii="Calibri" w:cs="Calibri" w:eastAsia="Calibri" w:hAnsi="Calibri"/>
                <w:b w:val="0"/>
                <w:bCs w:val="0"/>
                <w:i w:val="0"/>
                <w:iCs w:val="0"/>
                <w:color w:val="1a2b3c"/>
                <w:sz w:val="20"/>
                <w:szCs w:val="20"/>
                <w:rtl w:val="0"/>
              </w:rPr>
              <w:t xml:space="preserve">Mr. Foster and the Student Who Gave Up</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ffffff" w:space="0" w:sz="4" w:val="single"/>
            </w:tcBorders>
            <w:shd w:fill="d4eef1" w:val="clear"/>
            <w:tcMar>
              <w:top w:w="100.0" w:type="dxa"/>
              <w:left w:w="140.0" w:type="dxa"/>
              <w:bottom w:w="100.0" w:type="dxa"/>
              <w:right w:w="140.0" w:type="dxa"/>
            </w:tcMar>
          </w:tcPr>
          <w:p w:rsidR="00000000" w:rsidDel="00000000" w:rsidP="00000000" w:rsidRDefault="00000000" w:rsidRPr="00000000" w14:paraId="00000066">
            <w:pPr>
              <w:spacing w:after="0" w:lineRule="auto"/>
              <w:rPr/>
            </w:pPr>
            <w:r w:rsidDel="00000000" w:rsidR="00000000" w:rsidRPr="00000000">
              <w:rPr>
                <w:rFonts w:ascii="Calibri" w:cs="Calibri" w:eastAsia="Calibri" w:hAnsi="Calibri"/>
                <w:b w:val="1"/>
                <w:bCs w:val="1"/>
                <w:i w:val="0"/>
                <w:iCs w:val="0"/>
                <w:color w:val="1f3864"/>
                <w:sz w:val="22"/>
                <w:szCs w:val="22"/>
                <w:rtl w:val="0"/>
              </w:rPr>
              <w:t xml:space="preserve">Module 3Function-Based Responses</w:t>
            </w:r>
            <w:r w:rsidDel="00000000" w:rsidR="00000000" w:rsidRPr="00000000">
              <w:rPr>
                <w:rtl w:val="0"/>
              </w:rPr>
            </w:r>
          </w:p>
        </w:tc>
        <w:tc>
          <w:tcPr>
            <w:tcBorders>
              <w:top w:color="028090" w:space="0" w:sz="4" w:val="single"/>
              <w:left w:color="ffffff" w:space="0" w:sz="4" w:val="single"/>
              <w:bottom w:color="028090" w:space="0" w:sz="4" w:val="single"/>
              <w:right w:color="028090" w:space="0" w:sz="4" w:val="single"/>
            </w:tcBorders>
            <w:shd w:fill="ffffff" w:val="clear"/>
            <w:tcMar>
              <w:top w:w="100.0" w:type="dxa"/>
              <w:left w:w="140.0" w:type="dxa"/>
              <w:bottom w:w="100.0" w:type="dxa"/>
              <w:right w:w="140.0" w:type="dxa"/>
            </w:tcMar>
          </w:tcPr>
          <w:p w:rsidR="00000000" w:rsidDel="00000000" w:rsidP="00000000" w:rsidRDefault="00000000" w:rsidRPr="00000000" w14:paraId="00000067">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3.1 </w:t>
            </w:r>
            <w:r w:rsidDel="00000000" w:rsidR="00000000" w:rsidRPr="00000000">
              <w:rPr>
                <w:rFonts w:ascii="Calibri" w:cs="Calibri" w:eastAsia="Calibri" w:hAnsi="Calibri"/>
                <w:b w:val="0"/>
                <w:bCs w:val="0"/>
                <w:i w:val="0"/>
                <w:iCs w:val="0"/>
                <w:color w:val="1a2b3c"/>
                <w:sz w:val="20"/>
                <w:szCs w:val="20"/>
                <w:rtl w:val="0"/>
              </w:rPr>
              <w:t xml:space="preserve">Mr. Foster and the Student Who Made Everything a Joke</w:t>
            </w:r>
            <w:r w:rsidDel="00000000" w:rsidR="00000000" w:rsidRPr="00000000">
              <w:rPr>
                <w:rtl w:val="0"/>
              </w:rPr>
            </w:r>
          </w:p>
          <w:p w:rsidR="00000000" w:rsidDel="00000000" w:rsidP="00000000" w:rsidRDefault="00000000" w:rsidRPr="00000000" w14:paraId="00000068">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3.2 </w:t>
            </w:r>
            <w:r w:rsidDel="00000000" w:rsidR="00000000" w:rsidRPr="00000000">
              <w:rPr>
                <w:rFonts w:ascii="Calibri" w:cs="Calibri" w:eastAsia="Calibri" w:hAnsi="Calibri"/>
                <w:b w:val="0"/>
                <w:bCs w:val="0"/>
                <w:i w:val="0"/>
                <w:iCs w:val="0"/>
                <w:color w:val="1a2b3c"/>
                <w:sz w:val="20"/>
                <w:szCs w:val="20"/>
                <w:rtl w:val="0"/>
              </w:rPr>
              <w:t xml:space="preserve">Mr. Foster and the Friendship That Was Quietly Falling Apart</w:t>
            </w:r>
            <w:r w:rsidDel="00000000" w:rsidR="00000000" w:rsidRPr="00000000">
              <w:rPr>
                <w:rtl w:val="0"/>
              </w:rPr>
            </w:r>
          </w:p>
          <w:p w:rsidR="00000000" w:rsidDel="00000000" w:rsidP="00000000" w:rsidRDefault="00000000" w:rsidRPr="00000000" w14:paraId="00000069">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3.3 </w:t>
            </w:r>
            <w:r w:rsidDel="00000000" w:rsidR="00000000" w:rsidRPr="00000000">
              <w:rPr>
                <w:rFonts w:ascii="Calibri" w:cs="Calibri" w:eastAsia="Calibri" w:hAnsi="Calibri"/>
                <w:b w:val="0"/>
                <w:bCs w:val="0"/>
                <w:i w:val="0"/>
                <w:iCs w:val="0"/>
                <w:color w:val="1a2b3c"/>
                <w:sz w:val="20"/>
                <w:szCs w:val="20"/>
                <w:rtl w:val="0"/>
              </w:rPr>
              <w:t xml:space="preserve">Mr. Foster and the Student He Thought Was Choosing to Fail</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Calibri" w:cs="Calibri" w:eastAsia="Calibri" w:hAnsi="Calibri"/>
                <w:b w:val="1"/>
                <w:bCs w:val="1"/>
                <w:i w:val="0"/>
                <w:iCs w:val="0"/>
                <w:color w:val="1f3864"/>
                <w:sz w:val="20"/>
                <w:szCs w:val="20"/>
                <w:rtl w:val="0"/>
              </w:rPr>
              <w:t xml:space="preserve">3.4 </w:t>
            </w:r>
            <w:r w:rsidDel="00000000" w:rsidR="00000000" w:rsidRPr="00000000">
              <w:rPr>
                <w:rFonts w:ascii="Calibri" w:cs="Calibri" w:eastAsia="Calibri" w:hAnsi="Calibri"/>
                <w:b w:val="0"/>
                <w:bCs w:val="0"/>
                <w:i w:val="0"/>
                <w:iCs w:val="0"/>
                <w:color w:val="1a2b3c"/>
                <w:sz w:val="20"/>
                <w:szCs w:val="20"/>
                <w:rtl w:val="0"/>
              </w:rPr>
              <w:t xml:space="preserve">Mr. Foster and the Student Who Knew Exactly What He Was Doing</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ffffff" w:space="0" w:sz="4" w:val="single"/>
            </w:tcBorders>
            <w:shd w:fill="d4eef1" w:val="clear"/>
            <w:tcMar>
              <w:top w:w="100.0" w:type="dxa"/>
              <w:left w:w="140.0" w:type="dxa"/>
              <w:bottom w:w="100.0" w:type="dxa"/>
              <w:right w:w="140.0" w:type="dxa"/>
            </w:tcMar>
          </w:tcPr>
          <w:p w:rsidR="00000000" w:rsidDel="00000000" w:rsidP="00000000" w:rsidRDefault="00000000" w:rsidRPr="00000000" w14:paraId="0000006B">
            <w:pPr>
              <w:spacing w:after="0" w:lineRule="auto"/>
              <w:rPr/>
            </w:pPr>
            <w:r w:rsidDel="00000000" w:rsidR="00000000" w:rsidRPr="00000000">
              <w:rPr>
                <w:rFonts w:ascii="Calibri" w:cs="Calibri" w:eastAsia="Calibri" w:hAnsi="Calibri"/>
                <w:b w:val="1"/>
                <w:bCs w:val="1"/>
                <w:i w:val="0"/>
                <w:iCs w:val="0"/>
                <w:color w:val="1f3864"/>
                <w:sz w:val="22"/>
                <w:szCs w:val="22"/>
                <w:rtl w:val="0"/>
              </w:rPr>
              <w:t xml:space="preserve">Module 4Inclusion in Practice</w:t>
            </w:r>
            <w:r w:rsidDel="00000000" w:rsidR="00000000" w:rsidRPr="00000000">
              <w:rPr>
                <w:rtl w:val="0"/>
              </w:rPr>
            </w:r>
          </w:p>
        </w:tc>
        <w:tc>
          <w:tcPr>
            <w:tcBorders>
              <w:top w:color="028090" w:space="0" w:sz="4" w:val="single"/>
              <w:left w:color="ffffff" w:space="0" w:sz="4" w:val="single"/>
              <w:bottom w:color="028090" w:space="0" w:sz="4" w:val="single"/>
              <w:right w:color="028090" w:space="0" w:sz="4" w:val="single"/>
            </w:tcBorders>
            <w:shd w:fill="ffffff" w:val="clear"/>
            <w:tcMar>
              <w:top w:w="100.0" w:type="dxa"/>
              <w:left w:w="140.0" w:type="dxa"/>
              <w:bottom w:w="100.0" w:type="dxa"/>
              <w:right w:w="140.0" w:type="dxa"/>
            </w:tcMar>
          </w:tcPr>
          <w:p w:rsidR="00000000" w:rsidDel="00000000" w:rsidP="00000000" w:rsidRDefault="00000000" w:rsidRPr="00000000" w14:paraId="0000006C">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4.1 </w:t>
            </w:r>
            <w:r w:rsidDel="00000000" w:rsidR="00000000" w:rsidRPr="00000000">
              <w:rPr>
                <w:rFonts w:ascii="Calibri" w:cs="Calibri" w:eastAsia="Calibri" w:hAnsi="Calibri"/>
                <w:b w:val="0"/>
                <w:bCs w:val="0"/>
                <w:i w:val="0"/>
                <w:iCs w:val="0"/>
                <w:color w:val="1a2b3c"/>
                <w:sz w:val="20"/>
                <w:szCs w:val="20"/>
                <w:rtl w:val="0"/>
              </w:rPr>
              <w:t xml:space="preserve">Mr. Foster and the Class That Forgot How to Be Nice</w:t>
            </w:r>
            <w:r w:rsidDel="00000000" w:rsidR="00000000" w:rsidRPr="00000000">
              <w:rPr>
                <w:rtl w:val="0"/>
              </w:rPr>
            </w:r>
          </w:p>
          <w:p w:rsidR="00000000" w:rsidDel="00000000" w:rsidP="00000000" w:rsidRDefault="00000000" w:rsidRPr="00000000" w14:paraId="0000006D">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4.2 </w:t>
            </w:r>
            <w:r w:rsidDel="00000000" w:rsidR="00000000" w:rsidRPr="00000000">
              <w:rPr>
                <w:rFonts w:ascii="Calibri" w:cs="Calibri" w:eastAsia="Calibri" w:hAnsi="Calibri"/>
                <w:b w:val="0"/>
                <w:bCs w:val="0"/>
                <w:i w:val="0"/>
                <w:iCs w:val="0"/>
                <w:color w:val="1a2b3c"/>
                <w:sz w:val="20"/>
                <w:szCs w:val="20"/>
                <w:rtl w:val="0"/>
              </w:rPr>
              <w:t xml:space="preserve">Mr. Foster and the Goodbye That Nobody Planned For</w:t>
            </w:r>
            <w:r w:rsidDel="00000000" w:rsidR="00000000" w:rsidRPr="00000000">
              <w:rPr>
                <w:rtl w:val="0"/>
              </w:rPr>
            </w:r>
          </w:p>
          <w:p w:rsidR="00000000" w:rsidDel="00000000" w:rsidP="00000000" w:rsidRDefault="00000000" w:rsidRPr="00000000" w14:paraId="0000006E">
            <w:pPr>
              <w:spacing w:after="60" w:lineRule="auto"/>
              <w:rPr/>
            </w:pPr>
            <w:r w:rsidDel="00000000" w:rsidR="00000000" w:rsidRPr="00000000">
              <w:rPr>
                <w:rFonts w:ascii="Calibri" w:cs="Calibri" w:eastAsia="Calibri" w:hAnsi="Calibri"/>
                <w:b w:val="1"/>
                <w:bCs w:val="1"/>
                <w:i w:val="0"/>
                <w:iCs w:val="0"/>
                <w:color w:val="1f3864"/>
                <w:sz w:val="20"/>
                <w:szCs w:val="20"/>
                <w:rtl w:val="0"/>
              </w:rPr>
              <w:t xml:space="preserve">4.3 </w:t>
            </w:r>
            <w:r w:rsidDel="00000000" w:rsidR="00000000" w:rsidRPr="00000000">
              <w:rPr>
                <w:rFonts w:ascii="Calibri" w:cs="Calibri" w:eastAsia="Calibri" w:hAnsi="Calibri"/>
                <w:b w:val="0"/>
                <w:bCs w:val="0"/>
                <w:i w:val="0"/>
                <w:iCs w:val="0"/>
                <w:color w:val="1a2b3c"/>
                <w:sz w:val="20"/>
                <w:szCs w:val="20"/>
                <w:rtl w:val="0"/>
              </w:rPr>
              <w:t xml:space="preserve">Mr. Foster and the Field Day That Almost Wasn’t</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Calibri" w:cs="Calibri" w:eastAsia="Calibri" w:hAnsi="Calibri"/>
                <w:b w:val="1"/>
                <w:bCs w:val="1"/>
                <w:i w:val="0"/>
                <w:iCs w:val="0"/>
                <w:color w:val="1f3864"/>
                <w:sz w:val="20"/>
                <w:szCs w:val="20"/>
                <w:rtl w:val="0"/>
              </w:rPr>
              <w:t xml:space="preserve">4.4 </w:t>
            </w:r>
            <w:r w:rsidDel="00000000" w:rsidR="00000000" w:rsidRPr="00000000">
              <w:rPr>
                <w:rFonts w:ascii="Calibri" w:cs="Calibri" w:eastAsia="Calibri" w:hAnsi="Calibri"/>
                <w:b w:val="0"/>
                <w:bCs w:val="0"/>
                <w:i w:val="0"/>
                <w:iCs w:val="0"/>
                <w:color w:val="1a2b3c"/>
                <w:sz w:val="20"/>
                <w:szCs w:val="20"/>
                <w:rtl w:val="0"/>
              </w:rPr>
              <w:t xml:space="preserve">Mr. Foster and the Last Three Weeks</w:t>
            </w:r>
            <w:r w:rsidDel="00000000" w:rsidR="00000000" w:rsidRPr="00000000">
              <w:rPr>
                <w:rtl w:val="0"/>
              </w:rPr>
            </w:r>
          </w:p>
        </w:tc>
      </w:tr>
    </w:tbl>
    <w:p w:rsidR="00000000" w:rsidDel="00000000" w:rsidP="00000000" w:rsidRDefault="00000000" w:rsidRPr="00000000" w14:paraId="00000070">
      <w:pPr>
        <w:spacing w:after="80" w:before="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28090" w:space="0" w:sz="4" w:val="single"/>
              <w:left w:color="028090" w:space="0" w:sz="6" w:val="single"/>
              <w:bottom w:color="028090" w:space="0" w:sz="4" w:val="single"/>
              <w:right w:color="028090" w:space="0" w:sz="4" w:val="single"/>
            </w:tcBorders>
            <w:shd w:fill="d4eef1" w:val="clear"/>
            <w:tcMar>
              <w:top w:w="120.0" w:type="dxa"/>
              <w:left w:w="180.0" w:type="dxa"/>
              <w:bottom w:w="120.0" w:type="dxa"/>
              <w:right w:w="180.0" w:type="dxa"/>
            </w:tcMar>
          </w:tcPr>
          <w:p w:rsidR="00000000" w:rsidDel="00000000" w:rsidP="00000000" w:rsidRDefault="00000000" w:rsidRPr="00000000" w14:paraId="00000071">
            <w:pPr>
              <w:spacing w:after="100" w:lineRule="auto"/>
              <w:rPr/>
            </w:pPr>
            <w:r w:rsidDel="00000000" w:rsidR="00000000" w:rsidRPr="00000000">
              <w:rPr>
                <w:rFonts w:ascii="Calibri" w:cs="Calibri" w:eastAsia="Calibri" w:hAnsi="Calibri"/>
                <w:b w:val="1"/>
                <w:bCs w:val="1"/>
                <w:i w:val="0"/>
                <w:iCs w:val="0"/>
                <w:color w:val="1a2b3c"/>
                <w:sz w:val="22"/>
                <w:szCs w:val="22"/>
                <w:rtl w:val="0"/>
              </w:rPr>
              <w:t xml:space="preserve">A Note on the Teacher in These Stories</w:t>
            </w:r>
            <w:r w:rsidDel="00000000" w:rsidR="00000000" w:rsidRPr="00000000">
              <w:rPr>
                <w:rtl w:val="0"/>
              </w:rPr>
            </w:r>
          </w:p>
          <w:p w:rsidR="00000000" w:rsidDel="00000000" w:rsidP="00000000" w:rsidRDefault="00000000" w:rsidRPr="00000000" w14:paraId="00000072">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Mr. Foster is not a hero. He is not a cautionary tale. He is a teacher in the middle of the work — getting things wrong, noticing that he’s gotten them wrong, and doing something different. The case studies are most useful when you read them with that frame: not “what is the right answer” but “what am I seeing, what does it mean, and what would I do?”</w:t>
            </w:r>
            <w:r w:rsidDel="00000000" w:rsidR="00000000" w:rsidRPr="00000000">
              <w:rPr>
                <w:rtl w:val="0"/>
              </w:rPr>
            </w:r>
          </w:p>
          <w:p w:rsidR="00000000" w:rsidDel="00000000" w:rsidP="00000000" w:rsidRDefault="00000000" w:rsidRPr="00000000" w14:paraId="00000073">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The students in these cases are also not types. They are children with histories, needs, and perspectives that Mr. Foster only ever partially sees. One of the most consistent things the case studies show is how much a teacher’s understanding of a student is incomplete — and how much changes when that understanding deepens.</w:t>
            </w:r>
            <w:r w:rsidDel="00000000" w:rsidR="00000000" w:rsidRPr="00000000">
              <w:rPr>
                <w:rtl w:val="0"/>
              </w:rPr>
            </w:r>
          </w:p>
          <w:p w:rsidR="00000000" w:rsidDel="00000000" w:rsidP="00000000" w:rsidRDefault="00000000" w:rsidRPr="00000000" w14:paraId="00000074">
            <w:pPr>
              <w:spacing w:after="160" w:before="0" w:lineRule="auto"/>
              <w:rPr/>
            </w:pPr>
            <w:r w:rsidDel="00000000" w:rsidR="00000000" w:rsidRPr="00000000">
              <w:rPr>
                <w:rFonts w:ascii="Calibri" w:cs="Calibri" w:eastAsia="Calibri" w:hAnsi="Calibri"/>
                <w:b w:val="0"/>
                <w:bCs w:val="0"/>
                <w:i w:val="0"/>
                <w:iCs w:val="0"/>
                <w:color w:val="1a2b3c"/>
                <w:sz w:val="22"/>
                <w:szCs w:val="22"/>
                <w:rtl w:val="0"/>
              </w:rPr>
              <w:t xml:space="preserve">That deepening is what this course is for.</w:t>
            </w:r>
            <w:r w:rsidDel="00000000" w:rsidR="00000000" w:rsidRPr="00000000">
              <w:rPr>
                <w:rtl w:val="0"/>
              </w:rPr>
            </w:r>
          </w:p>
        </w:tc>
      </w:tr>
    </w:tbl>
    <w:p w:rsidR="00000000" w:rsidDel="00000000" w:rsidP="00000000" w:rsidRDefault="00000000" w:rsidRPr="00000000" w14:paraId="00000075">
      <w:pPr>
        <w:spacing w:after="80" w:before="0" w:lineRule="auto"/>
        <w:rPr/>
      </w:pPr>
      <w:r w:rsidDel="00000000" w:rsidR="00000000" w:rsidRPr="00000000">
        <w:rPr>
          <w:rtl w:val="0"/>
        </w:rPr>
      </w:r>
    </w:p>
    <w:sectPr>
      <w:headerReference r:id="rId6" w:type="default"/>
      <w:footerReference r:id="rId7" w:type="default"/>
      <w:pgSz w:h="15840" w:w="12240" w:orient="portrait"/>
      <w:pgMar w:bottom="1080" w:top="108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color="028090" w:space="4" w:sz="4" w:val="single"/>
      </w:pBdr>
      <w:spacing w:before="0" w:lineRule="auto"/>
      <w:rPr/>
    </w:pPr>
    <w:r w:rsidDel="00000000" w:rsidR="00000000" w:rsidRPr="00000000">
      <w:rPr>
        <w:rFonts w:ascii="Calibri" w:cs="Calibri" w:eastAsia="Calibri" w:hAnsi="Calibri"/>
        <w:b w:val="0"/>
        <w:bCs w:val="0"/>
        <w:i w:val="0"/>
        <w:iCs w:val="0"/>
        <w:color w:val="4a6274"/>
        <w:sz w:val="16"/>
        <w:szCs w:val="16"/>
        <w:rtl w:val="0"/>
      </w:rPr>
      <w:t xml:space="preserve">Introduction: How to Use This Course  │  Inclusive Learning Lab, LLC  │  </w:t>
    </w:r>
    <w:r w:rsidDel="00000000" w:rsidR="00000000" w:rsidRPr="00000000">
      <w:rPr>
        <w:rFonts w:ascii="Calibri" w:cs="Calibri" w:eastAsia="Calibri" w:hAnsi="Calibri"/>
        <w:color w:val="4a6274"/>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bottom w:color="028090" w:space="4" w:sz="4" w:val="single"/>
      </w:pBdr>
      <w:spacing w:after="0" w:lineRule="auto"/>
      <w:rPr/>
    </w:pPr>
    <w:r w:rsidDel="00000000" w:rsidR="00000000" w:rsidRPr="00000000">
      <w:rPr>
        <w:rFonts w:ascii="Calibri" w:cs="Calibri" w:eastAsia="Calibri" w:hAnsi="Calibri"/>
        <w:b w:val="0"/>
        <w:bCs w:val="0"/>
        <w:i w:val="0"/>
        <w:iCs w:val="0"/>
        <w:color w:val="4a6274"/>
        <w:sz w:val="18"/>
        <w:szCs w:val="18"/>
        <w:rtl w:val="0"/>
      </w:rPr>
      <w:t xml:space="preserve">Inclusive Learning Lab  │  Introduction  │  How to Use This Course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